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 Meeting</w:t>
      </w:r>
    </w:p>
    <w:p>
      <w:r>
        <w:t>Date: Unknown Date</w:t>
      </w:r>
    </w:p>
    <w:p>
      <w:pPr>
        <w:pStyle w:val="Heading1"/>
      </w:pPr>
      <w:r>
        <w:t>Attendees</w:t>
      </w:r>
    </w:p>
    <w:p>
      <w:r>
        <w:t>Romesh Sobti (Attendee)</w:t>
      </w:r>
    </w:p>
    <w:p>
      <w:r>
        <w:t>Anup Shah (Attendee)</w:t>
      </w:r>
    </w:p>
    <w:p>
      <w:r>
        <w:t>Dinesh Kanabar (Attendee)</w:t>
      </w:r>
    </w:p>
    <w:p>
      <w:pPr>
        <w:pStyle w:val="Heading1"/>
      </w:pPr>
      <w:r>
        <w:t>Agenda</w:t>
      </w:r>
    </w:p>
    <w:p>
      <w:pPr>
        <w:pStyle w:val="ListBullet"/>
      </w:pPr>
      <w:r>
        <w:t>Item 2: Note the Minutes of the previous audit committee meeting held on 25th July and 28th July</w:t>
      </w:r>
    </w:p>
    <w:p>
      <w:pPr>
        <w:pStyle w:val="ListBullet"/>
      </w:pPr>
      <w:r>
        <w:t>Item 3: Note the action taken on the decisions of the previous audit committee meeting</w:t>
      </w:r>
    </w:p>
    <w:p>
      <w:pPr>
        <w:pStyle w:val="ListBullet"/>
      </w:pPr>
      <w:r>
        <w:t>Item 4: Review matters pursuant to Regulation 18(3) of SEBI LODR</w:t>
      </w:r>
    </w:p>
    <w:p>
      <w:pPr>
        <w:pStyle w:val="ListBullet"/>
      </w:pPr>
      <w:r>
        <w:t>Item 5: Review inter-corporate loans and investments by the company</w:t>
      </w:r>
    </w:p>
    <w:p>
      <w:pPr>
        <w:pStyle w:val="ListBullet"/>
      </w:pPr>
      <w:r>
        <w:t>Item 6: Review investments made by unlisted subsidiaries during the quarter</w:t>
      </w:r>
    </w:p>
    <w:p>
      <w:pPr>
        <w:pStyle w:val="ListBullet"/>
      </w:pPr>
      <w:r>
        <w:t>Item 7: Review compliance with SEBI Insider Trading Regulations</w:t>
      </w:r>
    </w:p>
    <w:p>
      <w:pPr>
        <w:pStyle w:val="ListBullet"/>
      </w:pPr>
      <w:r>
        <w:t>Item 8: Review the status of vigil mechanism for the quarter</w:t>
      </w:r>
    </w:p>
    <w:p>
      <w:pPr>
        <w:pStyle w:val="ListBullet"/>
      </w:pPr>
      <w:r>
        <w:t>Item 9: Review the internal audit report for the quarter</w:t>
      </w:r>
    </w:p>
    <w:p>
      <w:pPr>
        <w:pStyle w:val="ListBullet"/>
      </w:pPr>
      <w:r>
        <w:t>Review and note of RPTS entered into during the quarter ended 30th September</w:t>
      </w:r>
    </w:p>
    <w:p>
      <w:pPr>
        <w:pStyle w:val="ListBullet"/>
      </w:pPr>
      <w:r>
        <w:t>Approval of additional projected RPT statement along with rationale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Noted: RPTS entered into during the quarter ended 30th September</w:t>
      </w:r>
    </w:p>
    <w:p>
      <w:pPr>
        <w:pStyle w:val="ListBullet"/>
      </w:pPr>
      <w:r>
        <w:t>Approved: Additional projected RPT statement along with rationale</w:t>
      </w:r>
    </w:p>
    <w:p>
      <w:pPr>
        <w:pStyle w:val="ListBullet"/>
      </w:pPr>
      <w:r>
        <w:t>Accorded omnibus approval for additional RPT for the financial year 2526</w:t>
      </w:r>
    </w:p>
    <w:p>
      <w:pPr>
        <w:pStyle w:val="Heading1"/>
      </w:pPr>
      <w:r>
        <w:t>Action Items</w:t>
      </w:r>
    </w:p>
    <w:p>
      <w:pPr>
        <w:pStyle w:val="ListBullet"/>
      </w:pPr>
      <w:r>
        <w:t>Go through the certificate from the Independent Chartered Accountant - Company Secretary</w:t>
      </w:r>
    </w:p>
    <w:p>
      <w:pPr>
        <w:pStyle w:val="ListBullet"/>
      </w:pPr>
      <w:r>
        <w:t>Obtain quotations on a quarterly basis for related party transactions - Not specified</w:t>
      </w:r>
    </w:p>
    <w:p>
      <w:pPr>
        <w:pStyle w:val="Heading1"/>
      </w:pPr>
      <w:r>
        <w:t>Next Meeting</w:t>
      </w:r>
    </w:p>
    <w:p>
      <w:r>
        <w:t>Not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