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(DAHOD) LIMITED</w:t>
      </w:r>
    </w:p>
    <w:p>
      <w:pPr>
        <w:spacing w:before="0" w:after="0"/>
        <w:jc w:val="left"/>
      </w:pPr>
      <w:r>
        <w:rPr>
          <w:rFonts w:ascii="Adani" w:hAnsi="Adani"/>
          <w:b w:val="0"/>
          <w:sz w:val="20"/>
          <w:u w:val="none"/>
        </w:rPr>
        <w:t>ADANI AGRI LOGISTICS (KATIHAR) LIMITED</w:t>
      </w:r>
    </w:p>
    <w:p>
      <w:pPr>
        <w:spacing w:before="0" w:after="0"/>
        <w:jc w:val="left"/>
      </w:pPr>
      <w:r>
        <w:rPr>
          <w:rFonts w:ascii="Adani" w:hAnsi="Adani"/>
          <w:b w:val="0"/>
          <w:sz w:val="20"/>
          <w:u w:val="none"/>
        </w:rPr>
        <w:t>ADANI AGRI LOGISTICS (DHAMORA) LIMITED</w:t>
      </w:r>
    </w:p>
    <w:p>
      <w:pPr>
        <w:spacing w:before="0" w:after="0"/>
        <w:jc w:val="left"/>
      </w:pPr>
      <w:r>
        <w:rPr>
          <w:rFonts w:ascii="Adani" w:hAnsi="Adani"/>
          <w:b w:val="0"/>
          <w:sz w:val="20"/>
          <w:u w:val="none"/>
        </w:rPr>
        <w:t>ADANI AGRI LOGISTICS (KOTKAPURA) LIMITED</w:t>
      </w:r>
    </w:p>
    <w:p>
      <w:pPr>
        <w:spacing w:before="0" w:after="0"/>
        <w:jc w:val="left"/>
      </w:pPr>
      <w:r>
        <w:rPr>
          <w:rFonts w:ascii="Adani" w:hAnsi="Adani"/>
          <w:b w:val="0"/>
          <w:sz w:val="20"/>
          <w:u w:val="none"/>
        </w:rPr>
        <w:t>ADANI AGRI LOGISTICS (KANNAUJ) LIMITED</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MADURAI INFRASTRUCTURE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BLUE STAR REALTORS LIMITED</w:t>
      </w:r>
    </w:p>
    <w:p>
      <w:pPr>
        <w:spacing w:before="0" w:after="160"/>
        <w:jc w:val="left"/>
      </w:pPr>
      <w:r>
        <w:rPr>
          <w:rFonts w:ascii="Adani" w:hAnsi="Adani"/>
          <w:b w:val="0"/>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