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TOTAL ADANI FUELS MARKETING PRIVATE LIMITED</w:t>
      </w:r>
    </w:p>
    <w:p>
      <w:pPr>
        <w:spacing w:before="0" w:after="0"/>
        <w:jc w:val="left"/>
      </w:pPr>
      <w:r>
        <w:rPr>
          <w:rFonts w:ascii="Adani" w:hAnsi="Adani"/>
          <w:b w:val="0"/>
          <w:sz w:val="20"/>
          <w:u w:val="none"/>
        </w:rPr>
        <w:t>MUNDRA LPG TERMINAL PRIVATE LIMITED</w:t>
      </w:r>
    </w:p>
    <w:p>
      <w:pPr>
        <w:spacing w:before="0" w:after="160"/>
        <w:jc w:val="left"/>
      </w:pPr>
      <w:r>
        <w:rPr>
          <w:rFonts w:ascii="Adani" w:hAnsi="Adani"/>
          <w:b w:val="0"/>
          <w:sz w:val="20"/>
          <w:u w:val="none"/>
        </w:rPr>
        <w:t>ADANI DHAMRA LPG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ADANI FUELS MARKETING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TOTAL ADANI FUELS MARKETING PRIVATE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ADANI DHAMRA LPG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ADANI CONTAINER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TOTAL ADANI FUELS MARKETING PRIVATE LIMITED</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DHAMRA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U50500GJ2019PTC110437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ADANI FUELS MARKETING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