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TRANSMISSION STEP-ONE LIMITED</w:t>
      </w:r>
    </w:p>
    <w:p>
      <w:pPr>
        <w:spacing w:before="0" w:after="160"/>
        <w:jc w:val="left"/>
      </w:pPr>
      <w:r>
        <w:rPr>
          <w:rFonts w:ascii="Adani" w:hAnsi="Adani"/>
          <w:b w:val="0"/>
          <w:sz w:val="20"/>
          <w:u w:val="none"/>
        </w:rPr>
        <w:t>ADANI ENERGY SOLUTIONS MAHAN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MAHAN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ADANI ENERGY SOLUTIONS MAHAN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ADANI ENERGY SOLUTIONS MAHAN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U40106MP2022PLC066994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MAHAN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