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U45200GJ2005PTC047086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ESTATE MANAGEMENT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Adni House, Nr. Mithakhalisix Roads,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ESTATE MANAGEMENT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ALTON BUILDTECH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LUSHGREEN LANDSCAPES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CCC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ROCKFIELD HOMES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BELVEDERE GOLF AND COUNTRY CLUB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FOOD AND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AGRICULTURAL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MUNDRA SEZ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JADE AGRI LAND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ROHIT AGRI-TRADE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19/11/2009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SHANTIGRAM UTILITY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