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U88100GJ2025NPL160028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{{NOMINAL_CAPITAL}}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{{PAID_UP_CAPITAL}}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FOUNDATION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Sg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FOUNDATION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MALAY RAMESH MAHADEVIA,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(MH)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(DL)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BETHECHANGE ENTERTAINMENT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SKILLS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CEMINDIA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LIFESTYLE AUSHADHI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SOCIAL DEVELOPMENT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MEDICAL AID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CORPCON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B2B MARKETING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DIAGNOSTICS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ENTITIES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AWL AGRI BUSINESS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 DEVELOPMENT CENTRE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VIZHINJAM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GSPC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MAHADEVIA DENTAL HOSPITAL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MALAY RAMESH MAHADEVIA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00064110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