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ARYAMAN TRUSTEESHIP SERVICES PRIVATE LIMITED</w:t>
      </w:r>
    </w:p>
    <w:p>
      <w:pPr>
        <w:spacing w:before="0" w:after="0"/>
        <w:jc w:val="left"/>
      </w:pPr>
      <w:r>
        <w:rPr>
          <w:rFonts w:ascii="Adani" w:hAnsi="Adani"/>
          <w:b w:val="0"/>
          <w:sz w:val="20"/>
          <w:u w:val="none"/>
        </w:rPr>
        <w:t>NIRVAAN TRUSTEESHIP SERVICES PRIVATE LIMITED</w:t>
      </w:r>
    </w:p>
    <w:p>
      <w:pPr>
        <w:spacing w:before="0" w:after="0"/>
        <w:jc w:val="left"/>
      </w:pPr>
      <w:r>
        <w:rPr>
          <w:rFonts w:ascii="Adani" w:hAnsi="Adani"/>
          <w:b w:val="0"/>
          <w:sz w:val="20"/>
          <w:u w:val="none"/>
        </w:rPr>
        <w:t>ALEMBIC PHARMACEUTICALS LIMITED</w:t>
      </w:r>
    </w:p>
    <w:p>
      <w:pPr>
        <w:spacing w:before="0" w:after="0"/>
        <w:jc w:val="left"/>
      </w:pPr>
      <w:r>
        <w:rPr>
          <w:rFonts w:ascii="Adani" w:hAnsi="Adani"/>
          <w:b w:val="0"/>
          <w:sz w:val="20"/>
          <w:u w:val="none"/>
        </w:rPr>
        <w:t>K RAHEJA CORP INVESTMENT MANAGERS PRIVATE LIMITED</w:t>
      </w:r>
    </w:p>
    <w:p>
      <w:pPr>
        <w:spacing w:before="0" w:after="0"/>
        <w:jc w:val="left"/>
      </w:pPr>
      <w:r>
        <w:rPr>
          <w:rFonts w:ascii="Adani" w:hAnsi="Adani"/>
          <w:b w:val="0"/>
          <w:sz w:val="20"/>
          <w:u w:val="none"/>
        </w:rPr>
        <w:t>BAJAJ FINSERV LIMITED</w:t>
      </w:r>
    </w:p>
    <w:p>
      <w:pPr>
        <w:spacing w:before="0" w:after="0"/>
        <w:jc w:val="left"/>
      </w:pPr>
      <w:r>
        <w:rPr>
          <w:rFonts w:ascii="Adani" w:hAnsi="Adani"/>
          <w:b w:val="0"/>
          <w:sz w:val="20"/>
          <w:u w:val="none"/>
        </w:rPr>
        <w:t>INTERNATIONAL FOUNDATION FOR RESEARCH AND EDUCATION</w:t>
      </w:r>
    </w:p>
    <w:p>
      <w:pPr>
        <w:spacing w:before="0" w:after="160"/>
        <w:jc w:val="left"/>
      </w:pPr>
      <w:r>
        <w:rPr>
          <w:rFonts w:ascii="Adani" w:hAnsi="Adani"/>
          <w:b w:val="0"/>
          <w:sz w:val="20"/>
          <w:u w:val="none"/>
        </w:rPr>
        <w:t>BAJAJ HOLDINGS &amp; INVESTMENT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