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GARE PELMA III COLLIERIES LIMITED</w:t>
      </w:r>
    </w:p>
    <w:p>
      <w:pPr>
        <w:spacing w:before="0" w:after="0"/>
        <w:jc w:val="left"/>
      </w:pPr>
      <w:r>
        <w:rPr>
          <w:rFonts w:ascii="Adani" w:hAnsi="Adani"/>
          <w:b w:val="0"/>
          <w:sz w:val="20"/>
          <w:u w:val="none"/>
        </w:rPr>
        <w:t>TALABIRA (ODISHA) MINING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CHITRAKOOT ONE LIMITED</w:t>
      </w:r>
    </w:p>
    <w:p>
      <w:pPr>
        <w:spacing w:before="0" w:after="160"/>
        <w:jc w:val="left"/>
      </w:pPr>
      <w:r>
        <w:rPr>
          <w:rFonts w:ascii="Adani" w:hAnsi="Adani"/>
          <w:b w:val="0"/>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AP SIX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