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val="0"/>
          <w:sz w:val="20"/>
          <w:u w:val="none"/>
        </w:rPr>
        <w:t>ADANI SOLAR ENERGY JODHPUR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SAURABH PRAKASHCHANDRA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SAURABH PRAKASHCHANDRA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CFO</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11111334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SAURABH PRAKASHCHANDRA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SAURABH PRAKASHCHANDRA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CFO</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11111334</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SAURABH PRAKASHCHANDRA JAIN</w:t>
      </w:r>
    </w:p>
    <w:p>
      <w:pPr>
        <w:spacing w:before="0" w:after="40"/>
        <w:jc w:val="left"/>
      </w:pPr>
      <w:r>
        <w:rPr>
          <w:rFonts w:ascii="Adani" w:hAnsi="Adani"/>
          <w:b w:val="0"/>
          <w:sz w:val="20"/>
          <w:u w:val="none"/>
        </w:rPr>
        <w:t>DIN: 11111334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11111334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SAURABH PRAKASHCHANDRA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