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KOGTA FINANCIAL (INDIA) LIMITED</w:t>
      </w:r>
    </w:p>
    <w:p>
      <w:pPr>
        <w:spacing w:before="0" w:after="0"/>
        <w:jc w:val="left"/>
      </w:pPr>
      <w:r>
        <w:rPr>
          <w:rFonts w:ascii="Adani" w:hAnsi="Adani"/>
          <w:b w:val="0"/>
          <w:sz w:val="20"/>
          <w:u w:val="none"/>
        </w:rPr>
        <w:t>DABUR INDIA LIMITED</w:t>
      </w:r>
    </w:p>
    <w:p>
      <w:pPr>
        <w:spacing w:before="0" w:after="0"/>
        <w:jc w:val="left"/>
      </w:pPr>
      <w:r>
        <w:rPr>
          <w:rFonts w:ascii="Adani" w:hAnsi="Adani"/>
          <w:b w:val="0"/>
          <w:sz w:val="20"/>
          <w:u w:val="none"/>
        </w:rPr>
        <w:t>HELIOS CAPITAL ASSET MANAGEMENT (INDIA) PRIVATE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SANCTITAS CAPITAL &amp; ADVISORY SERVICES LLP</w:t>
      </w:r>
    </w:p>
    <w:p>
      <w:pPr>
        <w:spacing w:before="0" w:after="0"/>
        <w:jc w:val="left"/>
      </w:pPr>
      <w:r>
        <w:rPr>
          <w:rFonts w:ascii="Adani" w:hAnsi="Adani"/>
          <w:b w:val="0"/>
          <w:sz w:val="20"/>
          <w:u w:val="none"/>
        </w:rPr>
        <w:t>OLIVE BAR &amp; KITCHEN PRIVATE LIMITED</w:t>
      </w:r>
    </w:p>
    <w:p>
      <w:pPr>
        <w:spacing w:before="0" w:after="0"/>
        <w:jc w:val="left"/>
      </w:pPr>
      <w:r>
        <w:rPr>
          <w:rFonts w:ascii="Adani" w:hAnsi="Adani"/>
          <w:b w:val="0"/>
          <w:sz w:val="20"/>
          <w:u w:val="none"/>
        </w:rPr>
        <w:t>MAPLE INFRA INVIT INVESTMENT MANAGER PRIVATE LIMITED</w:t>
      </w:r>
    </w:p>
    <w:p>
      <w:pPr>
        <w:spacing w:before="0" w:after="160"/>
        <w:jc w:val="left"/>
      </w:pPr>
      <w:r>
        <w:rPr>
          <w:rFonts w:ascii="Adani" w:hAnsi="Adani"/>
          <w:b w:val="0"/>
          <w:sz w:val="20"/>
          <w:u w:val="none"/>
        </w:rPr>
        <w:t>BHARAT FINANCIAL INCLUSION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MAPLE INFRA INVIT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FINANCIAL INCLUSION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Pr>
        <w:spacing w:before="0" w:after="20"/>
        <w:jc w:val="left"/>
      </w:pPr>
      <w:r>
        <w:rPr>
          <w:rFonts w:ascii="Adani" w:hAnsi="Adani"/>
          <w:b/>
          <w:sz w:val="20"/>
          <w:u w:val="none"/>
        </w:rPr>
        <w:t>MAPLE INFRA INVIT INVESTMENT MANAGER PRIVATE LIMITED</w:t>
      </w:r>
    </w:p>
    <w:p>
      <w:pPr>
        <w:spacing w:before="0" w:after="20"/>
        <w:jc w:val="left"/>
      </w:pPr>
      <w:r>
        <w:rPr>
          <w:rFonts w:ascii="Adani" w:hAnsi="Adani"/>
          <w:b/>
          <w:sz w:val="20"/>
          <w:u w:val="none"/>
        </w:rPr>
        <w:t>BHARAT FINANCIAL INCLUSION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Pr>
        <w:spacing w:before="0" w:after="20"/>
        <w:jc w:val="left"/>
      </w:pPr>
      <w:r>
        <w:rPr>
          <w:rFonts w:ascii="Adani" w:hAnsi="Adani"/>
          <w:b w:val="0"/>
          <w:sz w:val="20"/>
          <w:u w:val="none"/>
        </w:rPr>
        <w:t>BHARAT FINANCIAL INCLUSION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Pr>
        <w:spacing w:before="0" w:after="20"/>
        <w:jc w:val="left"/>
      </w:pPr>
      <w:r>
        <w:rPr>
          <w:rFonts w:ascii="Adani" w:hAnsi="Adani"/>
          <w:b w:val="0"/>
          <w:sz w:val="20"/>
          <w:u w:val="none"/>
        </w:rPr>
        <w:t>MAPLE INFRA INVIT INVESTMENT MANAGER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U74110DL1995PTC430574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MAPLE INFRA INVIT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U65999MH2018PLC312539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FINANCIAL INCLUSION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