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U74999TN2016PTC103769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MARINE INFRASTRUCTURE DEVELOPER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Ramcon Fortuna Towers, 4th Floor, No. 1/2, Kodambakkam High Road, Nungampakkam, Chennai, Chennai, Tamil Nadu, India, 600034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MARINE INFRASTRUCTURE DEVELOPER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NAYANABEN BHAIRAVDANJI GADHVI, son/daughter of Mr. {{FATHER_NAME}}, resident of H-1, New Sattadhar Row House, Ghatlodia, Ahmedabad - 380 061,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HALVAD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NAYANABEN BHAIRAVDANJI GADHVI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07148619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