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U74999TN2016PTC103769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MARINE INFRASTRUCTURE DEVELOPER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Ramcon Fortuna Towers, 4th Floor, No. 1/2, Kodambakkam High Road, Nungampakkam, Chennai, Chennai, Tamil Nadu, India, 600034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MARINE INFRASTRUCTURE DEVELOPER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SUNDARESHAN STHANUNATHAN,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BSE E-AGRICULTURAL MARKETS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 CLEARING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GREAT EASTERN ENERGY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VEEDOL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PATSPIN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GTN TEXTILES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SUNDARESHAN STHANUNATHAN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01675195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