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ADANI AGRI FRESH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KAMUTHI SOLAR POWER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MUNDRA LPG TERMINAL PRIVATE LIMITED</w:t>
      </w:r>
    </w:p>
    <w:p>
      <w:pPr>
        <w:spacing w:before="0" w:after="0"/>
        <w:jc w:val="left"/>
      </w:pPr>
      <w:r>
        <w:rPr>
          <w:rFonts w:ascii="Adani" w:hAnsi="Adani"/>
          <w:b w:val="0"/>
          <w:sz w:val="20"/>
          <w:u w:val="none"/>
        </w:rPr>
        <w:t>SURYA VIDYUT LIMITED</w:t>
      </w:r>
    </w:p>
    <w:p>
      <w:pPr>
        <w:spacing w:before="0" w:after="160"/>
        <w:jc w:val="left"/>
      </w:pPr>
      <w:r>
        <w:rPr>
          <w:rFonts w:ascii="Adani" w:hAnsi="Adani"/>
          <w:b w:val="0"/>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SURYA VIDYUT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SURYA VIDYUT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U40108GJ2010PLC148865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 VIDYUT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