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AMBUJA CEMENTS LIMITED</w:t>
      </w:r>
    </w:p>
    <w:p>
      <w:pPr>
        <w:spacing w:before="0" w:after="0"/>
        <w:jc w:val="left"/>
      </w:pPr>
      <w:r>
        <w:rPr>
          <w:rFonts w:ascii="Adani" w:hAnsi="Adani"/>
          <w:b w:val="0"/>
          <w:sz w:val="20"/>
          <w:u w:val="none"/>
        </w:rPr>
        <w:t>ADANI MEDICITY AND RESEARCH CENTER</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ADANI POWER LIMITED</w:t>
      </w:r>
    </w:p>
    <w:p>
      <w:pPr>
        <w:spacing w:before="0" w:after="160"/>
        <w:jc w:val="left"/>
      </w:pPr>
      <w:r>
        <w:rPr>
          <w:rFonts w:ascii="Adani" w:hAnsi="Adani"/>
          <w:b w:val="0"/>
          <w:sz w:val="20"/>
          <w:u w:val="none"/>
        </w:rPr>
        <w:t>ADANI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