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RENEWABLE ENERGY HOLDING NINE LIMITED</w:t>
      </w:r>
    </w:p>
    <w:p>
      <w:pPr>
        <w:spacing w:before="0" w:after="0"/>
        <w:jc w:val="left"/>
      </w:pPr>
      <w:r>
        <w:rPr>
          <w:rFonts w:ascii="Adani" w:hAnsi="Adani"/>
          <w:b w:val="0"/>
          <w:sz w:val="20"/>
          <w:u w:val="none"/>
        </w:rPr>
        <w:t>ADANI SOLAR ENERGY AP EIGHT PRIVATE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GREEN ENERGY TWENTY SEVEN A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RENEWABLE ENERGY HOLDING EIGHT LIMITED</w:t>
      </w:r>
    </w:p>
    <w:p>
      <w:pPr>
        <w:spacing w:before="0" w:after="160"/>
        <w:jc w:val="left"/>
      </w:pPr>
      <w:r>
        <w:rPr>
          <w:rFonts w:ascii="Adani" w:hAnsi="Adani"/>
          <w:b w:val="0"/>
          <w:sz w:val="20"/>
          <w:u w:val="none"/>
        </w:rPr>
        <w:t>RSEPL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RSEPL RENEWABLE ENERGY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RSEPL RENEWABLE ENERGY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