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MP ONE PRIVATE LIMITED</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SOLAR ENERGY FOUR LIMITED</w:t>
      </w:r>
    </w:p>
    <w:p>
      <w:pPr>
        <w:spacing w:before="0" w:after="160"/>
        <w:jc w:val="left"/>
      </w:pPr>
      <w:r>
        <w:rPr>
          <w:rFonts w:ascii="Adani" w:hAnsi="Adani"/>
          <w:b w:val="0"/>
          <w:sz w:val="20"/>
          <w:u w:val="none"/>
        </w:rPr>
        <w:t>GROVILL EDUCATION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