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SURAJKIRAN RENEWABLE RESOURCES LIMITED</w:t>
      </w:r>
    </w:p>
    <w:p>
      <w:pPr>
        <w:spacing w:before="0" w:after="0"/>
        <w:jc w:val="left"/>
      </w:pPr>
      <w:r>
        <w:rPr>
          <w:rFonts w:ascii="Adani" w:hAnsi="Adani"/>
          <w:b w:val="0"/>
          <w:sz w:val="20"/>
          <w:u w:val="none"/>
        </w:rPr>
        <w:t>ADANI SOLAR ENERGY AP TWO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SURAJKIRAN SOLAR TECHNOLOGIES LIMITED</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WIND ENERGY (GUJARAT) LIMITED</w:t>
      </w:r>
    </w:p>
    <w:p>
      <w:pPr>
        <w:spacing w:before="0" w:after="160"/>
        <w:jc w:val="left"/>
      </w:pPr>
      <w:r>
        <w:rPr>
          <w:rFonts w:ascii="Adani" w:hAnsi="Adani"/>
          <w:b w:val="0"/>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 xml:space="preserve">Lokesh Kumar Jeengar </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Lokesh Kumar Jeengar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Lokesh Kumar Jeengar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 xml:space="preserve">Lokesh Kumar Jeengar </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 xml:space="preserve">Lokesh Kumar Jeengar </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