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FOUR LIMITED</w:t>
      </w:r>
    </w:p>
    <w:p>
      <w:pPr>
        <w:spacing w:before="0" w:after="0"/>
        <w:jc w:val="left"/>
      </w:pPr>
      <w:r>
        <w:rPr>
          <w:rFonts w:ascii="Adani" w:hAnsi="Adani"/>
          <w:b w:val="0"/>
          <w:sz w:val="20"/>
          <w:u w:val="none"/>
        </w:rPr>
        <w:t>ADANI POWER RAJASTHAN LIMITED</w:t>
      </w:r>
    </w:p>
    <w:p>
      <w:pPr>
        <w:spacing w:before="0" w:after="0"/>
        <w:jc w:val="left"/>
      </w:pPr>
      <w:r>
        <w:rPr>
          <w:rFonts w:ascii="Adani" w:hAnsi="Adani"/>
          <w:b w:val="0"/>
          <w:sz w:val="20"/>
          <w:u w:val="none"/>
        </w:rPr>
        <w:t>INSPIRON ENGINEERING PRIVATE LIMITED</w:t>
      </w:r>
    </w:p>
    <w:p>
      <w:pPr>
        <w:spacing w:before="0" w:after="0"/>
        <w:jc w:val="left"/>
      </w:pPr>
      <w:r>
        <w:rPr>
          <w:rFonts w:ascii="Adani" w:hAnsi="Adani"/>
          <w:b w:val="0"/>
          <w:sz w:val="20"/>
          <w:u w:val="none"/>
        </w:rPr>
        <w:t>ASIAN GRANITO INDIA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POWER MAHARASHTRA LIMITED</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METALEX COMMODITIES PRIVATE LIMITED</w:t>
      </w:r>
    </w:p>
    <w:p>
      <w:pPr>
        <w:spacing w:before="0" w:after="0"/>
        <w:jc w:val="left"/>
      </w:pPr>
      <w:r>
        <w:rPr>
          <w:rFonts w:ascii="Adani" w:hAnsi="Adani"/>
          <w:b w:val="0"/>
          <w:sz w:val="20"/>
          <w:u w:val="none"/>
        </w:rPr>
        <w:t>VINPACK (INDIA) PRIVATE LIMITED</w:t>
      </w:r>
    </w:p>
    <w:p>
      <w:pPr>
        <w:spacing w:before="0" w:after="160"/>
        <w:jc w:val="left"/>
      </w:pPr>
      <w:r>
        <w:rPr>
          <w:rFonts w:ascii="Adani" w:hAnsi="Adani"/>
          <w:b w:val="0"/>
          <w:sz w:val="20"/>
          <w:u w:val="none"/>
        </w:rPr>
        <w:t>AAJKAL INVESTMENTS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METALEX COMMODITIES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METALEX COMMODITIES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METALEX COMMODITIES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U51430GJ2012PTC069022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METALEX COMMODITIES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