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ADANI AGRI LOGISTICS (SAMASTIPUR) LIMITED</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ADANI AGRI LOGISTICS KATIHAR TWO LIMITED</w:t>
      </w:r>
    </w:p>
    <w:p>
      <w:pPr>
        <w:spacing w:before="0" w:after="0"/>
        <w:jc w:val="left"/>
      </w:pPr>
      <w:r>
        <w:rPr>
          <w:rFonts w:ascii="Adani" w:hAnsi="Adani"/>
          <w:b w:val="0"/>
          <w:sz w:val="20"/>
          <w:u w:val="none"/>
        </w:rPr>
        <w:t>ADANI AGRI LOGISTICS (CHANDARI) LIMITED</w:t>
      </w:r>
    </w:p>
    <w:p>
      <w:pPr>
        <w:spacing w:before="0" w:after="160"/>
        <w:jc w:val="left"/>
      </w:pPr>
      <w:r>
        <w:rPr>
          <w:rFonts w:ascii="Adani" w:hAnsi="Adani"/>
          <w:b w:val="0"/>
          <w:sz w:val="20"/>
          <w:u w:val="none"/>
        </w:rPr>
        <w:t>ADANI AGRI LOGISTICS (SANDILA)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