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INTERNATIONAL CONTAINER TERMINAL PRIVATE LIMITED</w:t>
      </w:r>
    </w:p>
    <w:p>
      <w:pPr>
        <w:spacing w:before="0" w:after="160"/>
        <w:jc w:val="left"/>
      </w:pPr>
      <w:r>
        <w:rPr>
          <w:rFonts w:ascii="Adani" w:hAnsi="Adani"/>
          <w:b w:val="0"/>
          <w:sz w:val="20"/>
          <w:u w:val="none"/>
        </w:rPr>
        <w:t>ADANI ENNORE CONTAINER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JEAN-RAPHAEL, RAINER, MARIE, JACQUES BODEN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ENNORE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JEAN-RAPHAEL, RAINER, MARIE, JACQUES BODEN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10825941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JEAN-RAPHAEL, RAINER, MARIE, JACQUES BODEN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JEAN-RAPHAEL, RAINER, MARIE, JACQUES BODEN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10825941</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INTERNATIONAL CONTAINER TERMINAL PRIVATE LIMITED</w:t>
      </w:r>
    </w:p>
    <w:p>
      <w:pPr>
        <w:spacing w:before="0" w:after="20"/>
        <w:jc w:val="left"/>
      </w:pPr>
      <w:r>
        <w:rPr>
          <w:rFonts w:ascii="Adani" w:hAnsi="Adani"/>
          <w:b/>
          <w:sz w:val="20"/>
          <w:u w:val="none"/>
        </w:rPr>
        <w:t>ADANI ENNORE CONTAINER TERMINAL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INTERNATIONAL CONTAINER TERMINAL PRIVATE LIMITED</w:t>
      </w:r>
    </w:p>
    <w:p>
      <w:pPr>
        <w:spacing w:before="0" w:after="20"/>
        <w:jc w:val="left"/>
      </w:pPr>
      <w:r>
        <w:rPr>
          <w:rFonts w:ascii="Adani" w:hAnsi="Adani"/>
          <w:b w:val="0"/>
          <w:sz w:val="20"/>
          <w:u w:val="none"/>
        </w:rPr>
        <w:t>ADANI ENNORE CONTAINER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JEAN-RAPHAEL, RAINER, MARIE, JACQUES BODEN</w:t>
      </w:r>
    </w:p>
    <w:p>
      <w:pPr>
        <w:spacing w:before="0" w:after="40"/>
        <w:jc w:val="left"/>
      </w:pPr>
      <w:r>
        <w:rPr>
          <w:rFonts w:ascii="Adani" w:hAnsi="Adani"/>
          <w:b w:val="0"/>
          <w:sz w:val="20"/>
          <w:u w:val="none"/>
        </w:rPr>
        <w:t>DIN: 10825941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10825941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JEAN-RAPHAEL, RAINER, MARIE, JACQUES BODEN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U61200GJ2011PTC065095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U61200GJ2014PTC078795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ENNORE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