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ADANI CONTAINER TERMINAL LIMITED</w:t>
      </w:r>
    </w:p>
    <w:p>
      <w:pPr>
        <w:spacing w:before="0" w:after="160"/>
        <w:jc w:val="left"/>
      </w:pPr>
      <w:r>
        <w:rPr>
          <w:rFonts w:ascii="Adani" w:hAnsi="Adani"/>
          <w:b w:val="0"/>
          <w:sz w:val="20"/>
          <w:u w:val="none"/>
        </w:rPr>
        <w:t>ADANI ESTATE MANAGEMENT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ADANI ESTATE MANAGEMENT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ESTATE MANAGEMENT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