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HARBOUR SERVICES LIMITED</w:t>
      </w:r>
    </w:p>
    <w:p>
      <w:pPr>
        <w:spacing w:before="0" w:after="0"/>
        <w:jc w:val="left"/>
      </w:pPr>
      <w:r>
        <w:rPr>
          <w:rFonts w:ascii="Adani" w:hAnsi="Adani"/>
          <w:b w:val="0"/>
          <w:sz w:val="20"/>
          <w:u w:val="none"/>
        </w:rPr>
        <w:t>ADANI GANGAVARAM PORT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THE DHAMRA PORT COMPANY LIMITED</w:t>
      </w:r>
    </w:p>
    <w:p>
      <w:pPr>
        <w:spacing w:before="0" w:after="160"/>
        <w:jc w:val="left"/>
      </w:pPr>
      <w:r>
        <w:rPr>
          <w:rFonts w:ascii="Adani" w:hAnsi="Adani"/>
          <w:b w:val="0"/>
          <w:sz w:val="20"/>
          <w:u w:val="none"/>
        </w:rPr>
        <w:t>ADANI VIZHINJAM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 Muthukumaran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 Muthukumaran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 Muthukumaran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 Muthukumaran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VIZHINJAM PORT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VIZHINJAM PORT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 Muthukumaran</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 Muthukumaran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