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HOSPITALS FOUNDATION</w:t>
      </w:r>
    </w:p>
    <w:p>
      <w:pPr>
        <w:spacing w:before="0" w:after="160"/>
        <w:jc w:val="left"/>
      </w:pPr>
      <w:r>
        <w:rPr>
          <w:rFonts w:ascii="Adani" w:hAnsi="Adani"/>
          <w:b w:val="0"/>
          <w:sz w:val="20"/>
          <w:u w:val="none"/>
        </w:rPr>
        <w:t>ADANI HOSPITALS MUNDRA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PANKAJKUMAR SUMATILAL DOSHI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MUNDRA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01/11/2013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PANKAJKUMAR SUMATILAL DOSHI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03600975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PANKAJKUMAR SUMATILAL DOSHI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PANKAJKUMAR SUMATILAL DOSHI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03600975</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HOSPITALS FOUNDATION</w:t>
      </w:r>
    </w:p>
    <w:p>
      <w:pPr>
        <w:spacing w:before="0" w:after="20"/>
        <w:jc w:val="left"/>
      </w:pPr>
      <w:r>
        <w:rPr>
          <w:rFonts w:ascii="Adani" w:hAnsi="Adani"/>
          <w:b/>
          <w:sz w:val="20"/>
          <w:u w:val="none"/>
        </w:rPr>
        <w:t>ADANI HOSPITALS MUNDRA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HOSPITALS FOUNDATION</w:t>
      </w:r>
    </w:p>
    <w:p>
      <w:pPr>
        <w:spacing w:before="0" w:after="20"/>
        <w:jc w:val="left"/>
      </w:pPr>
      <w:r>
        <w:rPr>
          <w:rFonts w:ascii="Adani" w:hAnsi="Adani"/>
          <w:b w:val="0"/>
          <w:sz w:val="20"/>
          <w:u w:val="none"/>
        </w:rPr>
        <w:t>ADANI HOSPITALS MUNDRA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PANKAJKUMAR SUMATILAL DOSHI</w:t>
      </w:r>
    </w:p>
    <w:p>
      <w:pPr>
        <w:spacing w:before="0" w:after="40"/>
        <w:jc w:val="left"/>
      </w:pPr>
      <w:r>
        <w:rPr>
          <w:rFonts w:ascii="Adani" w:hAnsi="Adani"/>
          <w:b w:val="0"/>
          <w:sz w:val="20"/>
          <w:u w:val="none"/>
        </w:rPr>
        <w:t>DIN: 03600975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03600975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PANKAJKUMAR SUMATILAL DOSHI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U86100GJ2025NPL165595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U85110GJ2013PLC077422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MUNDRA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01/11/2013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