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INDIAN NATIONAL SHIPOWNERS ASSOCIATION</w:t>
      </w:r>
    </w:p>
    <w:p>
      <w:pPr>
        <w:spacing w:before="0" w:after="0"/>
        <w:jc w:val="left"/>
      </w:pPr>
      <w:r>
        <w:rPr>
          <w:rFonts w:ascii="Adani" w:hAnsi="Adani"/>
          <w:b w:val="0"/>
          <w:sz w:val="20"/>
          <w:u w:val="none"/>
        </w:rPr>
        <w:t>ADANI SHIPPING (INDIA) LIMITED</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SPARKLE TERMINAL AND TOWAGE SERVICES LIMITED</w:t>
      </w:r>
    </w:p>
    <w:p>
      <w:pPr>
        <w:spacing w:before="0" w:after="160"/>
        <w:jc w:val="left"/>
      </w:pPr>
      <w:r>
        <w:rPr>
          <w:rFonts w:ascii="Adani" w:hAnsi="Adani"/>
          <w:b w:val="0"/>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DHIRAJ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TERMINAL AND TOWAGE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DHIRAJ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TERMINAL AND TOWAGE SERVICES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TERMINAL AND TOWAGE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DHIRAJ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DHIRAJ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U74999GJ2016PLC151204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TERMINAL AND TOWAGE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