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MP ONE PRIVATE LIMITED</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GREEN ENERGY SIXTEEN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RENEWABLE ENERGY HOLDING SIX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SOLAR ENERGY FOUR LIMITED</w:t>
      </w:r>
    </w:p>
    <w:p>
      <w:pPr>
        <w:spacing w:before="0" w:after="160"/>
        <w:jc w:val="left"/>
      </w:pPr>
      <w:r>
        <w:rPr>
          <w:rFonts w:ascii="Adani" w:hAnsi="Adani"/>
          <w:b w:val="0"/>
          <w:sz w:val="20"/>
          <w:u w:val="none"/>
        </w:rPr>
        <w:t>GROVILL EDUCATION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