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PETRONET (DAHEJ) PORT LIMITED</w:t>
      </w:r>
    </w:p>
    <w:p>
      <w:pPr>
        <w:spacing w:before="0" w:after="0"/>
        <w:jc w:val="left"/>
      </w:pPr>
      <w:r>
        <w:rPr>
          <w:rFonts w:ascii="Adani" w:hAnsi="Adani"/>
          <w:b w:val="0"/>
          <w:sz w:val="20"/>
          <w:u w:val="none"/>
        </w:rPr>
        <w:t>PETRONET LNG FOUNDATION</w:t>
      </w:r>
    </w:p>
    <w:p>
      <w:pPr>
        <w:spacing w:before="0" w:after="0"/>
        <w:jc w:val="left"/>
      </w:pPr>
      <w:r>
        <w:rPr>
          <w:rFonts w:ascii="Adani" w:hAnsi="Adani"/>
          <w:b w:val="0"/>
          <w:sz w:val="20"/>
          <w:u w:val="none"/>
        </w:rPr>
        <w:t>PETRONET ENERGY LIMITED</w:t>
      </w:r>
    </w:p>
    <w:p>
      <w:pPr>
        <w:spacing w:before="0" w:after="0"/>
        <w:jc w:val="left"/>
      </w:pPr>
      <w:r>
        <w:rPr>
          <w:rFonts w:ascii="Adani" w:hAnsi="Adani"/>
          <w:b w:val="0"/>
          <w:sz w:val="20"/>
          <w:u w:val="none"/>
        </w:rPr>
        <w:t>PETRONET LNG LIMITED</w:t>
      </w:r>
    </w:p>
    <w:p>
      <w:pPr>
        <w:spacing w:before="0" w:after="160"/>
        <w:jc w:val="left"/>
      </w:pPr>
      <w:r>
        <w:rPr>
          <w:rFonts w:ascii="Adani" w:hAnsi="Adani"/>
          <w:b w:val="0"/>
          <w:sz w:val="20"/>
          <w:u w:val="none"/>
        </w:rPr>
        <w:t>KOCHI SALEM PIPELINE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KOCHI SALEM PIPELINE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Pr>
        <w:spacing w:before="0" w:after="20"/>
        <w:jc w:val="left"/>
      </w:pPr>
      <w:r>
        <w:rPr>
          <w:rFonts w:ascii="Adani" w:hAnsi="Adani"/>
          <w:b/>
          <w:sz w:val="20"/>
          <w:u w:val="none"/>
        </w:rPr>
        <w:t>KOCHI SALEM PIPELINE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KOCHI SALEM PIPELINE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U40300KL2015PTC037849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KOCHI SALEM PIPELINE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