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ADANI SPORTSLINE PRIVATE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MUNDRA SYNENERGY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PROPERTIES PRIVATE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BARAMATI POWER PRIVATE LIMITED</w:t>
      </w:r>
    </w:p>
    <w:p>
      <w:pPr>
        <w:spacing w:before="0" w:after="0"/>
        <w:jc w:val="left"/>
      </w:pPr>
      <w:r>
        <w:rPr>
          <w:rFonts w:ascii="Adani" w:hAnsi="Adani"/>
          <w:b w:val="0"/>
          <w:sz w:val="20"/>
          <w:u w:val="none"/>
        </w:rPr>
        <w:t>ADANI INFRASTRUCTURE AND DEVELOPERS PRIVATE LIMITED</w:t>
      </w:r>
    </w:p>
    <w:p>
      <w:pPr>
        <w:spacing w:before="0" w:after="160"/>
        <w:jc w:val="left"/>
      </w:pPr>
      <w:r>
        <w:rPr>
          <w:rFonts w:ascii="Adani" w:hAnsi="Adani"/>
          <w:b w:val="0"/>
          <w:sz w:val="20"/>
          <w:u w:val="none"/>
        </w:rPr>
        <w:t>ADANI AGRI FRESH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