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KOGTA FINANCIAL (INDIA) LIMITED</w:t>
      </w:r>
    </w:p>
    <w:p>
      <w:pPr>
        <w:spacing w:before="0" w:after="0"/>
        <w:jc w:val="left"/>
      </w:pPr>
      <w:r>
        <w:rPr>
          <w:rFonts w:ascii="Adani" w:hAnsi="Adani"/>
          <w:b w:val="0"/>
          <w:sz w:val="20"/>
          <w:u w:val="none"/>
        </w:rPr>
        <w:t>DABUR INDIA LIMITED</w:t>
      </w:r>
    </w:p>
    <w:p>
      <w:pPr>
        <w:spacing w:before="0" w:after="0"/>
        <w:jc w:val="left"/>
      </w:pPr>
      <w:r>
        <w:rPr>
          <w:rFonts w:ascii="Adani" w:hAnsi="Adani"/>
          <w:b w:val="0"/>
          <w:sz w:val="20"/>
          <w:u w:val="none"/>
        </w:rPr>
        <w:t>HELIOS CAPITAL ASSET MANAGEMENT (INDIA) PRIVATE LIMITED</w:t>
      </w:r>
    </w:p>
    <w:p>
      <w:pPr>
        <w:spacing w:before="0" w:after="0"/>
        <w:jc w:val="left"/>
      </w:pPr>
      <w:r>
        <w:rPr>
          <w:rFonts w:ascii="Adani" w:hAnsi="Adani"/>
          <w:b w:val="0"/>
          <w:sz w:val="20"/>
          <w:u w:val="none"/>
        </w:rPr>
        <w:t>ADANI GREEN ENERGY LIMITED</w:t>
      </w:r>
    </w:p>
    <w:p>
      <w:pPr>
        <w:spacing w:before="0" w:after="160"/>
        <w:jc w:val="left"/>
      </w:pPr>
      <w:r>
        <w:rPr>
          <w:rFonts w:ascii="Adani" w:hAnsi="Adani"/>
          <w:b w:val="0"/>
          <w:sz w:val="20"/>
          <w:u w:val="none"/>
        </w:rPr>
        <w:t>OLIVE BAR &amp; KITCHEN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Romesh Sobti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KOGTA FINANCIAL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DABUR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HELIOS CAPITAL ASSET MANAGEMENT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OLIVE BAR &amp; KITCHEN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Romesh Sobti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00031034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Romesh Sobti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Romesh Sobti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00031034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KOGTA FINANCIAL (INDIA) LIMITED</w:t>
      </w:r>
    </w:p>
    <w:p>
      <w:pPr>
        <w:spacing w:before="0" w:after="20"/>
        <w:jc w:val="left"/>
      </w:pPr>
      <w:r>
        <w:rPr>
          <w:rFonts w:ascii="Adani" w:hAnsi="Adani"/>
          <w:b/>
          <w:sz w:val="20"/>
          <w:u w:val="none"/>
        </w:rPr>
        <w:t>DABUR INDIA LIMITED</w:t>
      </w:r>
    </w:p>
    <w:p>
      <w:pPr>
        <w:spacing w:before="0" w:after="20"/>
        <w:jc w:val="left"/>
      </w:pPr>
      <w:r>
        <w:rPr>
          <w:rFonts w:ascii="Adani" w:hAnsi="Adani"/>
          <w:b/>
          <w:sz w:val="20"/>
          <w:u w:val="none"/>
        </w:rPr>
        <w:t>HELIOS CAPITAL ASSET MANAGEMENT (INDIA) PRIVATE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OLIVE BAR &amp; KITCHEN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KOGTA FINANCIAL (INDIA) LIMITED</w:t>
      </w:r>
    </w:p>
    <w:p>
      <w:pPr>
        <w:spacing w:before="0" w:after="20"/>
        <w:jc w:val="left"/>
      </w:pPr>
      <w:r>
        <w:rPr>
          <w:rFonts w:ascii="Adani" w:hAnsi="Adani"/>
          <w:b w:val="0"/>
          <w:sz w:val="20"/>
          <w:u w:val="none"/>
        </w:rPr>
        <w:t>DABUR INDIA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HELIOS CAPITAL ASSET MANAGEMENT (INDIA) PRIVATE LIMITED</w:t>
      </w:r>
    </w:p>
    <w:p>
      <w:pPr>
        <w:spacing w:before="0" w:after="20"/>
        <w:jc w:val="left"/>
      </w:pPr>
      <w:r>
        <w:rPr>
          <w:rFonts w:ascii="Adani" w:hAnsi="Adani"/>
          <w:b w:val="0"/>
          <w:sz w:val="20"/>
          <w:u w:val="none"/>
        </w:rPr>
        <w:t>OLIVE BAR &amp; KITCHEN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Romesh Sobti</w:t>
      </w:r>
    </w:p>
    <w:p>
      <w:pPr>
        <w:spacing w:before="0" w:after="40"/>
        <w:jc w:val="left"/>
      </w:pPr>
      <w:r>
        <w:rPr>
          <w:rFonts w:ascii="Adani" w:hAnsi="Adani"/>
          <w:b w:val="0"/>
          <w:sz w:val="20"/>
          <w:u w:val="none"/>
        </w:rPr>
        <w:t>DIN: 00031034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00031034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Romesh Sobti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U67120RJ1996PLC011406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KOGTA FINANCIAL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L24230DL1975PLC007908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DABUR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U67190MH2021PTC360838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HELIOS CAPITAL ASSET MANAGEMENT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U55101MH2000PTC126970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OLIVE BAR &amp; KITCHEN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