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FOUR LIMITED</w:t>
      </w:r>
    </w:p>
    <w:p>
      <w:pPr>
        <w:spacing w:before="0" w:after="0"/>
        <w:jc w:val="left"/>
      </w:pPr>
      <w:r>
        <w:rPr>
          <w:rFonts w:ascii="Adani" w:hAnsi="Adani"/>
          <w:b w:val="0"/>
          <w:sz w:val="20"/>
          <w:u w:val="none"/>
        </w:rPr>
        <w:t>ADANI GREEN ENERGY TWO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WIND ENERGY KUTCHH TWO LIMITED</w:t>
      </w:r>
    </w:p>
    <w:p>
      <w:pPr>
        <w:spacing w:before="0" w:after="160"/>
        <w:jc w:val="left"/>
      </w:pPr>
      <w:r>
        <w:rPr>
          <w:rFonts w:ascii="Adani" w:hAnsi="Adani"/>
          <w:b w:val="0"/>
          <w:sz w:val="20"/>
          <w:u w:val="none"/>
        </w:rPr>
        <w:t>ADANI RENEWABLE ENERGY (MH)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