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FATEHGARH-BHADLA TRANSMISSION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ADANI TRANSMISSION STEP-ONE LIMITED</w:t>
      </w:r>
    </w:p>
    <w:p>
      <w:pPr>
        <w:spacing w:before="0" w:after="0"/>
        <w:jc w:val="left"/>
      </w:pPr>
      <w:r>
        <w:rPr>
          <w:rFonts w:ascii="Adani" w:hAnsi="Adani"/>
          <w:b w:val="0"/>
          <w:sz w:val="20"/>
          <w:u w:val="none"/>
        </w:rPr>
        <w:t>MP POWER TRANSMISSION PACKAGE-II LIMITED</w:t>
      </w:r>
    </w:p>
    <w:p>
      <w:pPr>
        <w:spacing w:before="0" w:after="160"/>
        <w:jc w:val="left"/>
      </w:pPr>
      <w:r>
        <w:rPr>
          <w:rFonts w:ascii="Adani" w:hAnsi="Adani"/>
          <w:b w:val="0"/>
          <w:sz w:val="20"/>
          <w:u w:val="none"/>
        </w:rPr>
        <w:t>MAHARASHTRA EASTERN GRID POWER TRANSMISSION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MAHARASHTRA EASTERN GRID POWER TRANSMISSION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MAHARASHTRA EASTERN GRID POWER TRANSMISSION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