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(UP)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RAVI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RAVI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RAVI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00003847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ORIENT CEMENT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LNR IPR SOLUTIONS LLP</w:t>
      </w:r>
    </w:p>
    <w:p>
      <w:pPr>
        <w:spacing w:before="0" w:after="20"/>
        <w:jc w:val="left"/>
      </w:pPr>
      <w:r>
        <w:rPr>
          <w:rFonts w:ascii="Adani" w:hAnsi="Adani"/>
          <w:b/>
          <w:sz w:val="20"/>
          <w:u w:val="none"/>
        </w:rPr>
        <w:t>CORONEY TECHNOLOGIES PRIVATE LIMITED</w:t>
      </w:r>
    </w:p>
    <w:p>
      <w:pPr>
        <w:spacing w:before="0" w:after="20"/>
        <w:jc w:val="left"/>
      </w:pPr>
      <w:r>
        <w:rPr>
          <w:rFonts w:ascii="Adani" w:hAnsi="Adani"/>
          <w:b/>
          <w:sz w:val="20"/>
          <w:u w:val="none"/>
        </w:rPr>
        <w:t>CONCORD BIOTECH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ORIENT CEMENT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KRV INSOLVENCY PROFESSIONALS LLP</w:t>
      </w:r>
    </w:p>
    <w:p>
      <w:pPr>
        <w:spacing w:before="0" w:after="20"/>
        <w:jc w:val="left"/>
      </w:pPr>
      <w:r>
        <w:rPr>
          <w:rFonts w:ascii="Adani" w:hAnsi="Adani"/>
          <w:b w:val="0"/>
          <w:sz w:val="20"/>
          <w:u w:val="none"/>
        </w:rPr>
        <w:t>LNR IPR SOLUTIONS LLP</w:t>
      </w:r>
    </w:p>
    <w:p>
      <w:pPr>
        <w:spacing w:before="0" w:after="20"/>
        <w:jc w:val="left"/>
      </w:pPr>
      <w:r>
        <w:rPr>
          <w:rFonts w:ascii="Adani" w:hAnsi="Adani"/>
          <w:b w:val="0"/>
          <w:sz w:val="20"/>
          <w:u w:val="none"/>
        </w:rPr>
        <w:t>CONCORD BIOTECH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CORONEY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RAVI KAPOOR</w:t>
      </w:r>
    </w:p>
    <w:p>
      <w:pPr>
        <w:spacing w:before="0" w:after="40"/>
        <w:jc w:val="left"/>
      </w:pPr>
      <w:r>
        <w:rPr>
          <w:rFonts w:ascii="Adani" w:hAnsi="Adani"/>
          <w:b w:val="0"/>
          <w:sz w:val="20"/>
          <w:u w:val="none"/>
        </w:rPr>
        <w:t>DIN: 00003847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00003847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RAVI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L26940GJ2011PLC171878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ORIENT CEMENT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AAH-4817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LNR IPR SOLUTIONS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U74900GJ2008PTC053973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CORONEY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L24230GJ1984PLC007440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CONCORD BIOTECH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