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Pr>
        <w:spacing w:before="0" w:after="20"/>
        <w:jc w:val="left"/>
      </w:pPr>
      <w:r>
        <w:rPr>
          <w:rFonts w:ascii="Adani" w:hAnsi="Adani"/>
          <w:b/>
          <w:sz w:val="20"/>
          <w:u w:val="none"/>
        </w:rPr>
        <w:t>ADANI SOLAR ENERGY AP TWO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Pr>
        <w:spacing w:before="0" w:after="20"/>
        <w:jc w:val="left"/>
      </w:pPr>
      <w:r>
        <w:rPr>
          <w:rFonts w:ascii="Adani" w:hAnsi="Adani"/>
          <w:b w:val="0"/>
          <w:sz w:val="20"/>
          <w:u w:val="none"/>
        </w:rPr>
        <w:t>ADANI SOLAR ENERGY AP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