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BARMER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VIVEK PARIKH</w:t>
      </w:r>
      <w:r>
        <w:rPr>
          <w:rFonts w:ascii="Adani" w:hAnsi="Adani"/>
          <w:b w:val="0"/>
          <w:sz w:val="20"/>
          <w:u w:val="none"/>
        </w:rPr>
        <w:t xml:space="preserve">, son/daughter of </w:t>
      </w:r>
      <w:r>
        <w:rPr>
          <w:rFonts w:ascii="Adani" w:hAnsi="Adani"/>
          <w:b/>
          <w:sz w:val="20"/>
          <w:u w:val="none"/>
        </w:rPr>
        <w:t>Mr. Shyam Lal Parikh</w:t>
      </w:r>
      <w:r>
        <w:rPr>
          <w:rFonts w:ascii="Adani" w:hAnsi="Adani"/>
          <w:b w:val="0"/>
          <w:sz w:val="20"/>
          <w:u w:val="none"/>
        </w:rPr>
        <w:t>, resident of I-501, ICB city , Chandlodia-gota bridge, daskroi , Ahmedabad, Gujarat- 382481,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VIVEK PARIKH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10986506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VIVEK PARIKH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Mrs. Sapna Parikh</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Shyam Lal Parikh</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Gulab Parikh</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Bhavya Parikh</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Vishal Parikh, Mr. Vaibhav Parikh</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VIVEK PARIKH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10986506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TWENTY ONE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WIND ENERGY KUTCHH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TWENTY ONE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WIND ENERGY KUTCHH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VIVEK PARIKH</w:t>
      </w:r>
    </w:p>
    <w:p>
      <w:pPr>
        <w:spacing w:before="0" w:after="40"/>
        <w:jc w:val="left"/>
      </w:pPr>
      <w:r>
        <w:rPr>
          <w:rFonts w:ascii="Adani" w:hAnsi="Adani"/>
          <w:b w:val="0"/>
          <w:sz w:val="20"/>
          <w:u w:val="none"/>
        </w:rPr>
        <w:t>DIN: 10986506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10986506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VIVEK PARIKH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