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U85499GJ2020PTC118707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2,51,00,000/-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SPECIAL SITUATIONS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SPECIAL SITUATIONS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MALAY RAMESH MAHADEVIA,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(MH)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(DL)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BETHECHANGE ENTERTAINMENT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SOCIAL DEVELOPMENT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SKILLS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CEMINDIA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LIFESTYLE AUSHADHI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MEDICAL AID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CORPCON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B2B MARKETING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DIAGNOSTICS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ENTITIES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 DEVELOPMENT CENTRE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GSPC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MAHADEVIA DENTAL HOSPITAL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MALAY RAMESH MAHADEVIA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00064110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