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TWELVE LIMITED</w:t>
      </w:r>
    </w:p>
    <w:p>
      <w:pPr>
        <w:spacing w:before="0" w:after="20"/>
        <w:jc w:val="left"/>
      </w:pPr>
      <w:r>
        <w:rPr>
          <w:rFonts w:ascii="Adani" w:hAnsi="Adani"/>
          <w:b/>
          <w:sz w:val="20"/>
          <w:u w:val="none"/>
        </w:rPr>
        <w:t>ADANI HYDRO ENERGY ELEVEN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TWELVE LIMITED</w:t>
      </w:r>
    </w:p>
    <w:p>
      <w:pPr>
        <w:spacing w:before="0" w:after="20"/>
        <w:jc w:val="left"/>
      </w:pPr>
      <w:r>
        <w:rPr>
          <w:rFonts w:ascii="Adani" w:hAnsi="Adani"/>
          <w:b w:val="0"/>
          <w:sz w:val="20"/>
          <w:u w:val="none"/>
        </w:rPr>
        <w:t>ADANI HYDRO ENERGY ELEVEN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