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AWL AGRI BUSINESS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PRANAV VINOD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PRANAV VINOD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PRANAV VINOD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00008457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DIRK TRADE AND LOGISTICS LLP</w:t>
      </w:r>
    </w:p>
    <w:p>
      <w:pPr>
        <w:spacing w:before="0" w:after="20"/>
        <w:jc w:val="left"/>
      </w:pPr>
      <w:r>
        <w:rPr>
          <w:rFonts w:ascii="Adani" w:hAnsi="Adani"/>
          <w:b/>
          <w:sz w:val="20"/>
          <w:u w:val="none"/>
        </w:rPr>
        <w:t>ADANI TRADE AND LOGISTICS LLP</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AMG MEDIA NETWORKS LIMITED</w:t>
      </w:r>
    </w:p>
    <w:p>
      <w:pPr>
        <w:spacing w:before="0" w:after="20"/>
        <w:jc w:val="left"/>
      </w:pPr>
      <w:r>
        <w:rPr>
          <w:rFonts w:ascii="Adani" w:hAnsi="Adani"/>
          <w:b/>
          <w:sz w:val="20"/>
          <w:u w:val="none"/>
        </w:rPr>
        <w:t>ADANI SPORTSLINE PRIVATE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MUNDRA SYNENERGY LIMITED</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PROPERTIES PRIVATE LIMITED</w:t>
      </w:r>
    </w:p>
    <w:p>
      <w:pPr>
        <w:spacing w:before="0" w:after="20"/>
        <w:jc w:val="left"/>
      </w:pPr>
      <w:r>
        <w:rPr>
          <w:rFonts w:ascii="Adani" w:hAnsi="Adani"/>
          <w:b/>
          <w:sz w:val="20"/>
          <w:u w:val="none"/>
        </w:rPr>
        <w:t>ADANI BUNKERING LIMITED</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INFRASTRUCTURE AND DEVELOPERS PRIVATE LIMITED</w:t>
      </w:r>
    </w:p>
    <w:p>
      <w:pPr>
        <w:spacing w:before="0" w:after="20"/>
        <w:jc w:val="left"/>
      </w:pPr>
      <w:r>
        <w:rPr>
          <w:rFonts w:ascii="Adani" w:hAnsi="Adani"/>
          <w:b/>
          <w:sz w:val="20"/>
          <w:u w:val="none"/>
        </w:rPr>
        <w:t>ADANI AGRI FRESH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DIRK TRADE AND LOGISTICS LLP</w:t>
      </w:r>
    </w:p>
    <w:p>
      <w:pPr>
        <w:spacing w:before="0" w:after="20"/>
        <w:jc w:val="left"/>
      </w:pPr>
      <w:r>
        <w:rPr>
          <w:rFonts w:ascii="Adani" w:hAnsi="Adani"/>
          <w:b w:val="0"/>
          <w:sz w:val="20"/>
          <w:u w:val="none"/>
        </w:rPr>
        <w:t>ADANI TRADE AND LOGISTICS LLP</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AMG MEDIA NETWORKS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MUNDRA SYNENERGY LIMITED</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BUNKERING LIMITED</w:t>
      </w:r>
    </w:p>
    <w:p>
      <w:pPr>
        <w:spacing w:before="0" w:after="20"/>
        <w:jc w:val="left"/>
      </w:pPr>
      <w:r>
        <w:rPr>
          <w:rFonts w:ascii="Adani" w:hAnsi="Adani"/>
          <w:b w:val="0"/>
          <w:sz w:val="20"/>
          <w:u w:val="none"/>
        </w:rPr>
        <w:t>ADANI AGRI FRESH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 SPORTSLINE PRIVATE LIMITED</w:t>
      </w:r>
    </w:p>
    <w:p>
      <w:pPr>
        <w:spacing w:before="0" w:after="20"/>
        <w:jc w:val="left"/>
      </w:pPr>
      <w:r>
        <w:rPr>
          <w:rFonts w:ascii="Adani" w:hAnsi="Adani"/>
          <w:b w:val="0"/>
          <w:sz w:val="20"/>
          <w:u w:val="none"/>
        </w:rPr>
        <w:t>ADANI PROPERTIES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INFRASTRUCTURE AND DEVELOPERS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PRANAV VINOD ADANI</w:t>
      </w:r>
    </w:p>
    <w:p>
      <w:pPr>
        <w:spacing w:before="0" w:after="40"/>
        <w:jc w:val="left"/>
      </w:pPr>
      <w:r>
        <w:rPr>
          <w:rFonts w:ascii="Adani" w:hAnsi="Adani"/>
          <w:b w:val="0"/>
          <w:sz w:val="20"/>
          <w:u w:val="none"/>
        </w:rPr>
        <w:t>DIN: 00008457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00008457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PRANAV VINOD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ACA-9005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DIRK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ACA-6418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 AND LOGISTICS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U32304GJ2022PLC131425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AMG MEDIA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U92490GJ2019PTC111178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SPORTSLINE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U40106GJ2014PLC078744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SYNENERGY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U45201GJ1995PTC026067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PROPERTIES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31/05/2009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U40200GJ2008PLC054045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BUNKERING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U45201GJ2006PTC066449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INFRASTRUCTURE AND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26/03/2007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U63022GJ2004PLC045143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FRESH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22/03/2004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