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CAPITAL FIRST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DHSK ADVISORS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CAPITAL FIRST LIMITED</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CAPITAL FIRST LIMITED</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Pr>
        <w:spacing w:before="0" w:after="20"/>
        <w:jc w:val="left"/>
      </w:pPr>
      <w:r>
        <w:rPr>
          <w:rFonts w:ascii="Adani" w:hAnsi="Adani"/>
          <w:b w:val="0"/>
          <w:sz w:val="20"/>
          <w:u w:val="none"/>
        </w:rPr>
        <w:t>DHSK ADVISORS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U67100MH2007PTC169938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L29120MH2005PLC156795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