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MANDAKINI EXPLORATION AND MINING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NEELESH NEMA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BETA LAND HOLDING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NEELESH NEMA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08148587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NEELESH NEMA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NEELESH NEMA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08148587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AP ONE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SAUR URJA (KA)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RENEWABLE ENERGY (MH)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BETA LAND HOLDING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AP ONE LIMITED</w:t>
      </w:r>
    </w:p>
    <w:p>
      <w:pPr>
        <w:spacing w:before="0" w:after="20"/>
        <w:jc w:val="left"/>
      </w:pPr>
      <w:r>
        <w:rPr>
          <w:rFonts w:ascii="Adani" w:hAnsi="Adani"/>
          <w:b w:val="0"/>
          <w:sz w:val="20"/>
          <w:u w:val="none"/>
        </w:rPr>
        <w:t>ADANI GREEN ENERGY FIFTEEN LIMITED</w:t>
      </w:r>
    </w:p>
    <w:p>
      <w:pPr>
        <w:spacing w:before="0" w:after="20"/>
        <w:jc w:val="left"/>
      </w:pPr>
      <w:r>
        <w:rPr>
          <w:rFonts w:ascii="Adani" w:hAnsi="Adani"/>
          <w:b w:val="0"/>
          <w:sz w:val="20"/>
          <w:u w:val="none"/>
        </w:rPr>
        <w:t>ADANI SAUR URJA (KA)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RENEWABLE ENERGY (MH)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BETA LAND HOLDING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NEELESH NEMA</w:t>
      </w:r>
    </w:p>
    <w:p>
      <w:pPr>
        <w:spacing w:before="0" w:after="40"/>
        <w:jc w:val="left"/>
      </w:pPr>
      <w:r>
        <w:rPr>
          <w:rFonts w:ascii="Adani" w:hAnsi="Adani"/>
          <w:b w:val="0"/>
          <w:sz w:val="20"/>
          <w:u w:val="none"/>
        </w:rPr>
        <w:t>DIN: 08148587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08148587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NEELESH NEMA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U40108GJ2018PLC104033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U40300GJ2018PLC101944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U70100DL2012PLC245127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BETA LAND HOLDING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