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SHANKHESHWAR BUILDWELL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BHARATKUMAR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TRADECOM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TRADECOM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SUNANDA AGRI- TRADE PRIVATE LIMITED</w:t>
      </w:r>
    </w:p>
    <w:p>
      <w:pPr>
        <w:spacing w:before="0" w:after="20"/>
        <w:jc w:val="left"/>
      </w:pPr>
      <w:r>
        <w:rPr>
          <w:rFonts w:ascii="Adani" w:hAnsi="Adani"/>
          <w:b/>
          <w:sz w:val="20"/>
          <w:u w:val="none"/>
        </w:rPr>
        <w:t>ADANI AGRO PRIVATE LIMITED</w:t>
      </w:r>
    </w:p>
    <w:p>
      <w:pPr>
        <w:spacing w:before="0" w:after="20"/>
        <w:jc w:val="left"/>
      </w:pPr>
      <w:r>
        <w:rPr>
          <w:rFonts w:ascii="Adani" w:hAnsi="Adani"/>
          <w:b/>
          <w:sz w:val="20"/>
          <w:u w:val="none"/>
        </w:rPr>
        <w:t>ADANI RETAIL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TRADECOM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TRADECOM LLP</w:t>
      </w:r>
    </w:p>
    <w:p>
      <w:pPr>
        <w:spacing w:before="0" w:after="20"/>
        <w:jc w:val="left"/>
      </w:pPr>
      <w:r>
        <w:rPr>
          <w:rFonts w:ascii="Adani" w:hAnsi="Adani"/>
          <w:b w:val="0"/>
          <w:sz w:val="20"/>
          <w:u w:val="none"/>
        </w:rPr>
        <w:t>ADANI TRADING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SUNANDA AGRI- TRADE PRIVATE LIMITED</w:t>
      </w:r>
    </w:p>
    <w:p>
      <w:pPr>
        <w:spacing w:before="0" w:after="20"/>
        <w:jc w:val="left"/>
      </w:pPr>
      <w:r>
        <w:rPr>
          <w:rFonts w:ascii="Adani" w:hAnsi="Adani"/>
          <w:b w:val="0"/>
          <w:sz w:val="20"/>
          <w:u w:val="none"/>
        </w:rPr>
        <w:t>ADANI AGRO PRIVATE LIMITED</w:t>
      </w:r>
    </w:p>
    <w:p>
      <w:pPr>
        <w:spacing w:before="0" w:after="20"/>
        <w:jc w:val="left"/>
      </w:pPr>
      <w:r>
        <w:rPr>
          <w:rFonts w:ascii="Adani" w:hAnsi="Adani"/>
          <w:b w:val="0"/>
          <w:sz w:val="20"/>
          <w:u w:val="none"/>
        </w:rPr>
        <w:t>ADANI RETAIL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BHARATKUMAR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U51909GJ2021PLC125926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U52190GJ2000PTC038315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