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U45200GJ2005PTC047086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10,11,00,000/-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ESTATE MANAGEMENT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Adni House, Nr. Mithakhalisix Roads,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ESTATE MANAGEMENT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