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VNEET S JAAIN</w:t>
      </w:r>
      <w:r>
        <w:rPr>
          <w:rFonts w:ascii="Adani" w:hAnsi="Adani"/>
          <w:b w:val="0"/>
          <w:sz w:val="20"/>
          <w:u w:val="none"/>
        </w:rPr>
        <w:t xml:space="preserve">, son/daughter of </w:t>
      </w:r>
      <w:r>
        <w:rPr>
          <w:rFonts w:ascii="Adani" w:hAnsi="Adani"/>
          <w:b/>
          <w:sz w:val="20"/>
          <w:u w:val="none"/>
        </w:rPr>
        <w:t>Mr. Suresh Chand Jain</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VNEET S JAAIN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Vineet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Anky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Suresh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Santosh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Yash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Pankaj Kumar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Rachna Jain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MUNDRA SYNENERGY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MUNDRA SYNENERGY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VNEET S JAAIN</w:t>
      </w:r>
    </w:p>
    <w:p>
      <w:pPr>
        <w:spacing w:before="0" w:after="40"/>
        <w:jc w:val="left"/>
      </w:pPr>
      <w:r>
        <w:rPr>
          <w:rFonts w:ascii="Adani" w:hAnsi="Adani"/>
          <w:b w:val="0"/>
          <w:sz w:val="20"/>
          <w:u w:val="none"/>
        </w:rPr>
        <w:t>DIN: 00053906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00053906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VNEET S JAAIN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