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KPS1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BIRVA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 Friends Colony,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BIRVA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PARSA KENTE COLLIERIES LIMITED</w:t>
      </w:r>
    </w:p>
    <w:p>
      <w:pPr>
        <w:spacing w:before="0" w:after="20"/>
        <w:jc w:val="left"/>
      </w:pPr>
      <w:r>
        <w:rPr>
          <w:rFonts w:ascii="Adani" w:hAnsi="Adani"/>
          <w:b/>
          <w:sz w:val="20"/>
          <w:u w:val="none"/>
        </w:rPr>
        <w:t>PRANEETHA ECOCABLES LIMITED</w:t>
      </w:r>
    </w:p>
    <w:p>
      <w:pPr>
        <w:spacing w:before="0" w:after="20"/>
        <w:jc w:val="left"/>
      </w:pPr>
      <w:r>
        <w:rPr>
          <w:rFonts w:ascii="Adani" w:hAnsi="Adani"/>
          <w:b/>
          <w:sz w:val="20"/>
          <w:u w:val="none"/>
        </w:rPr>
        <w:t>KUTCH COPPER LIMITED</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M &amp; B ENGINEERING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PARSA KENTE COLLIERIES LIMITED</w:t>
      </w:r>
    </w:p>
    <w:p>
      <w:pPr>
        <w:spacing w:before="0" w:after="20"/>
        <w:jc w:val="left"/>
      </w:pPr>
      <w:r>
        <w:rPr>
          <w:rFonts w:ascii="Adani" w:hAnsi="Adani"/>
          <w:b w:val="0"/>
          <w:sz w:val="20"/>
          <w:u w:val="none"/>
        </w:rPr>
        <w:t>PRANEETHA ECOCABLES LIMITED</w:t>
      </w:r>
    </w:p>
    <w:p>
      <w:pPr>
        <w:spacing w:before="0" w:after="20"/>
        <w:jc w:val="left"/>
      </w:pPr>
      <w:r>
        <w:rPr>
          <w:rFonts w:ascii="Adani" w:hAnsi="Adani"/>
          <w:b w:val="0"/>
          <w:sz w:val="20"/>
          <w:u w:val="none"/>
        </w:rPr>
        <w:t>KUTCH COPPER LIMITED</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M &amp; B ENGINEERING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BIRVA PATEL</w:t>
      </w:r>
    </w:p>
    <w:p>
      <w:pPr>
        <w:spacing w:before="0" w:after="40"/>
        <w:jc w:val="left"/>
      </w:pPr>
      <w:r>
        <w:rPr>
          <w:rFonts w:ascii="Adani" w:hAnsi="Adani"/>
          <w:b w:val="0"/>
          <w:sz w:val="20"/>
          <w:u w:val="none"/>
        </w:rPr>
        <w:t>DIN: 07203299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07203299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BIRVA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U10200RJ2007PLC025173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U27320GJ2025PLC160395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U14100GJ2021PLC121525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