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Annual General Meeting BOARD OF DIRECTORS MEETING OF Adani Enterprises Limited HELD ON Saturday, THE 2025-01-25 COMMENCED AT 10:30 AND CONCLUDED AT , AT World Trade Centre, Tower 14, 17th Floor, Cuffe Parade, Mumbai - 400005</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Gautam Adani</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r>
              <w:t>Vinod Adani</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Authorised Officer</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Gautam Adani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Gautam Adani (DIN: 00222019)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Vinod Adani (DIN: 00222020)</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Ashish Kundra (DIN: 00222021)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2026.</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0/- (Rupees  Only) to the statutory auditors of the Company for the financial year ended on 31st March, 2026.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0/- (Rupees  Only) to the statutory auditors of the Company for the financial year ended on 31st March, 2026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2026.</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2026, Statement of Profit and Loss for the year ended on 31st March 2026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2026 Statement of Profit and Loss for the Year ended 31st March, 2026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t>RESOVED FURTHER THAT the related party transactions entered into by the Company during the Financial Year 2026 to 2027  as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 Director (DIN: ) and Mr. , Director (DIN: )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2026.</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2026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2026,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Annual General Meeting of the Members be convened and held on Saturday  of January, 2026 at 10:30 p.m. at Registered Office of the Company Situated at Adani Corporate House, Shantigram, Near Vaishno Devi Circle, S. G. Highway, Khodiyar, Ahmedabad - 382421, Gujarat, India.</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Gautam Adani,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2026-05-20</w:t>
      </w:r>
    </w:p>
    <w:p w14:paraId="27F2FB3F" w14:textId="77048630" w:rsidR="001D6572" w:rsidRPr="00967051" w:rsidRDefault="001D6572" w:rsidP="00CD0000">
      <w:pPr>
        <w:jc w:val="both"/>
        <w:rPr>
          <w:rFonts w:ascii="Adani Regular" w:hAnsi="Adani Regular"/>
          <w:sz w:val="22"/>
          <w:szCs w:val="22"/>
        </w:rPr>
      </w:pPr>
      <w:r>
        <w:t>Date of Signing</w:t>
        <w:tab/>
        <w:t>:        2026-05-20</w:t>
        <w:tab/>
      </w:r>
    </w:p>
    <w:p w14:paraId="27F2FB40" w14:textId="418CC8FF" w:rsidR="009D3CDE" w:rsidRPr="00967051" w:rsidRDefault="001D6572" w:rsidP="00CD0000">
      <w:pPr>
        <w:jc w:val="both"/>
        <w:rPr>
          <w:rFonts w:ascii="Adani Regular" w:hAnsi="Adani Regular"/>
          <w:sz w:val="22"/>
          <w:szCs w:val="22"/>
        </w:rPr>
      </w:pPr>
      <w:r>
        <w:t>Place</w:t>
        <w:tab/>
        <w:tab/>
        <w:t>:  Ahmedabad</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t>Adani Enterprises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