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Since all the Directors were present, no leave of absence was required to be granted.</w:t>
      </w:r>
    </w:p>
    <w:p>
      <w:r>
        <w:t>TO TAKE NOTE OF THE MINUTES OF PREVIOUS BOARD MEETING HELD ON 28TH OCTOBER, 2025, AS CIRCULATED EARLIER AND CONFIRMED BY THE DIRECTORS</w:t>
      </w:r>
    </w:p>
    <w:p>
      <w:r>
        <w:t>The minutes of 89th Board Meeting of Board of Directors of the Company held on 28th October, 2025, were prepared within the stipulated time period were noted by the Board and signed by the Chairman in token thereof.</w:t>
      </w:r>
    </w:p>
    <w:p>
      <w:r>
        <w:t>TO TAKE NOTE OF ACTION TAKEN REPORT</w:t>
      </w:r>
    </w:p>
    <w:p>
      <w:r>
        <w:t>Following details of the actions taken on decision of previous Board Meeting held on 28th October, 2025 were placed before the Board:</w:t>
      </w:r>
    </w:p>
    <w:p>
      <w:r>
        <w:t>The Board took note of the same.</w:t>
      </w:r>
    </w:p>
    <w:p>
      <w:r>
        <w:t>TO TAKE NOTE OF MINUTES OF FOLLOWING COMMITTEE MEETINGS</w:t>
      </w:r>
    </w:p>
    <w:p>
      <w:r>
        <w:t>Minutes of the meeting of the following committees were placed before the Board:</w:t>
      </w:r>
    </w:p>
    <w:p>
      <w:r>
        <w:t>The Board took note of the same.</w:t>
      </w:r>
    </w:p>
    <w:p>
      <w:r>
        <w:t>TO TAKE NOTE OF MINUTES OF THE BOARD MEETING OF SUBSIDIARY COMPANIES HELD DURING THE QUARTER FROM 1ST OCTOBER, 2025 TO 31ST DECEMBER, 2025</w:t>
      </w:r>
    </w:p>
    <w:p>
      <w:r>
        <w:t>The Board was informed that in compliance of the provisions of the SEBI (Listing Obligations and Disclosure Requirements) Regulations, 2015, the minutes of the Board meetings of the unlisted subsidiary companies held during the quarter from 1st October, 2025 to 31st December, 2025 were circulated to the Board Members alongwith summary thereof. The Board took note of the same.</w:t>
      </w:r>
    </w:p>
    <w:p>
      <w:r>
        <w:t>TO TAKE NOTE OF THE FOLLOWING:</w:t>
      </w:r>
    </w:p>
    <w:p>
      <w:r>
        <w:t>Change in disclosures of interests received from Director(s) in Form MBP-1 pursuant to Section 184 of the Companies Act, 2013</w:t>
      </w:r>
    </w:p>
    <w:p>
      <w:r>
        <w:t>Mr. Pragnesh Darji, Company Secretary placed before the board, the change in Disclosure of Interest received from Director under Section 184 of the Companies Act, 2013 as per the following details:</w:t>
      </w:r>
    </w:p>
    <w:p>
      <w:r>
        <w:t>The Board took note of the same.</w:t>
      </w:r>
    </w:p>
    <w:p>
      <w:r>
        <w:t>To take note of status of investor complaints pursuant to Regulation 13(4) of LODR Regulation 2015</w:t>
      </w:r>
    </w:p>
    <w:p>
      <w:r>
        <w:t>The status of investor complaints for the quarter ended 31st December, 2025 is as under:</w:t>
      </w:r>
    </w:p>
    <w:p>
      <w:r>
        <w:t>The Board took note of the same.</w:t>
      </w:r>
    </w:p>
    <w:p>
      <w:r>
        <w:t>To take note of the Corporate Governance Report pursuant to Regulation 27(2) of LODR Regulation 2015</w:t>
      </w:r>
    </w:p>
    <w:p>
      <w:r>
        <w:t>The Corporate Governance Report for the quarter ended on 30th September, 2025 submitted to the Stock Exchanges was placed before the Board.</w:t>
      </w:r>
    </w:p>
    <w:p>
      <w:r>
        <w:t>The Board took note of the same.</w:t>
      </w:r>
    </w:p>
    <w:p>
      <w:r>
        <w:t>To review the information as per Schedule-II of Regulation 17(7) of LODR Regulation 2015</w:t>
      </w:r>
    </w:p>
    <w:p>
      <w:r>
        <w:t>The Board took note of the same.</w:t>
      </w:r>
    </w:p>
    <w:p>
      <w:r>
        <w:t>To take note of Reconciliation of Share Capital Audit Report pursuant to SEBI (Depositories and Participants) Regulations, 2018, as amended.</w:t>
      </w:r>
    </w:p>
    <w:p>
      <w:r>
        <w:t>The Reconciliation of Share Capital Audit Report of the Company pursuant to SEBI (Depositories and Participants) Regulations, 2018 for the quarter ended 31st December, 2025 was placed before the Board.</w:t>
      </w:r>
    </w:p>
    <w:p>
      <w:r>
        <w:t>The Board took note of the same.</w:t>
      </w:r>
    </w:p>
    <w:p>
      <w:r>
        <w:t>TO TAKE NOTE OF COMPLIANCE OF SECTION 186 AND 180(1)(C) OF THE COMPANIES ACT, 2013</w:t>
      </w:r>
    </w:p>
    <w:p>
      <w:r>
        <w:t>Mr. Pragnesh Darji, Company Secretary placed before the Board following statements showing:</w:t>
      </w:r>
    </w:p>
    <w:p>
      <w:r>
        <w:t>The Board took note of the same.</w:t>
      </w:r>
    </w:p>
    <w:p>
      <w:r>
        <w:t>TO TAKE NOTE OF STATUTORY COMPLIANCE MADE BY THE COMPANY FOR THE PERIOD 1ST OCTOBER, 2025 TO 31ST DECEMBER, 2025</w:t>
      </w:r>
    </w:p>
    <w:p>
      <w:r>
        <w:t>The Statutory Compliance Certificate for the period 1st October, 2025 to 31st December, 2025 certified by Mr. Vneet S. Jaain, Managing Director of the Company for the period under review, was circulated to the Board for review.</w:t>
      </w:r>
    </w:p>
    <w:p>
      <w:r>
        <w:t>The Board took note of the same.</w:t>
      </w:r>
    </w:p>
    <w:p>
      <w:r>
        <w:t>TO CONSIDER AND APPROVE THE UNAUDITED FINANCIAL RESULTS FOR THE QUARTER AND NINE MONTHS ENDED 31ST DECEMBER, 2025 AS PER REGULATION 33 OF THE SEBI (LISTING OBLIGATIONS AND DISCLOSURE REQUIREMENTS) REGULATIONS, 2015</w:t>
      </w:r>
    </w:p>
    <w:p>
      <w:r>
        <w:t xml:space="preserve">The Board was apprised that in terms of Regulation 33 of SEBI (Listing Obligations and Disclosure Requirements) Regulations, 2015, the Board is required to consider and approve the Unaudited Financial Results (Standalone and Consolidated) together with Limited Review Report for the quarter and nine months ended 31st December, 2025 and to furnish the same to the Stock Exchanges. </w:t>
      </w:r>
    </w:p>
    <w:p>
      <w:r>
        <w:t xml:space="preserve">Accordingly, the Unaudited Financial Results (Standalone and Consolidated) for the quarter and nine months ended 31st December, 2025 as reviewed by the Audit Committee at its meeting to be held on 23rd January, 2026 were placed before the Board for its consideration and approval. </w:t>
      </w:r>
    </w:p>
    <w:p>
      <w:r>
        <w:t>On behalf of the Audit committee, Chairman Mr. Raminder Singh Gujral also apprised the Board of the review and discussions at the Committee and also apprised that the Audit Committee has unanimously recommended the financial results of the Company for the quarter and nine months ended 31st December, 2025 for approval by the Board.</w:t>
      </w:r>
    </w:p>
    <w:p>
      <w:r>
        <w:t xml:space="preserve">The certificate duly signed by Mr. Ashish Khanna, Chief Executive Officer and Mr. Saurabh Shah, Chief Financial Officer of the Company stating the correctness of Unaudited Financial Results for the quarter and nine months ended 31st December, 2025 were also placed at the Meeting. </w:t>
      </w:r>
    </w:p>
    <w:p>
      <w:r>
        <w:t>The Board was also apprised of the following key highlights:</w:t>
      </w:r>
    </w:p>
    <w:p>
      <w:r>
        <w:t>Business Highlights:</w:t>
      </w:r>
    </w:p>
    <w:p>
      <w:r>
        <w:t xml:space="preserve">Capacity: 17.2 GW (+48% YoY), including 5.6 GW greenfield addition (largest in India). </w:t>
      </w:r>
    </w:p>
    <w:p>
      <w:r>
        <w:t xml:space="preserve">Energy Sales: 27,636 mn units in 9M FY26 vs 20,108 mn units in 9M FY25 (+37% YoY). </w:t>
      </w:r>
    </w:p>
    <w:p>
      <w:r>
        <w:t>Performance: Generated 79% of annual PPA commitment in 9MFY26, consistently above targets.</w:t>
      </w:r>
    </w:p>
    <w:p>
      <w:r>
        <w:t>Financial Performance:</w:t>
      </w:r>
    </w:p>
    <w:p>
      <w:r>
        <w:t>Revenue from Power Supply: ₹ 8,508 Cr (+25% YoY), EBITDA: ₹ 7,921 Cr (+24% YoY), margin 91.5% and Cash Profit: ₹ 3,906 Cr (+7% YoY)</w:t>
      </w:r>
    </w:p>
    <w:p>
      <w:r>
        <w:t>Rating Upgrade: CRISIL Ratings upgraded RG1 rating to AAA/Stable (from AA+/Positive) marking the first domestic AAA rated project in AGEL’s portfolio</w:t>
      </w:r>
    </w:p>
    <w:p>
      <w:r>
        <w:t>Refinancing: Emerald 2 project borrowings were successfully refinanced, resulting in interest rate benefit of ~200 bps, strengthening cost efficiency and financial performance</w:t>
      </w:r>
    </w:p>
    <w:p>
      <w:r>
        <w:t>Other key milestones:</w:t>
      </w:r>
    </w:p>
    <w:p>
      <w:r>
        <w:t>Ranked No. 1 in Energy Intelligence’s Annual Global Top 100 Green Utilities Rankings for 2025, rising from third place to lead the world’s green energy transition</w:t>
      </w:r>
    </w:p>
    <w:p>
      <w:r>
        <w:t>Deepened nature-positive leadership, taking a significant step in sustainability journey by mainstreaming the Taskforce on Nature-related Financial Disclosures (TNFD) framework into our operations</w:t>
      </w:r>
    </w:p>
    <w:p>
      <w:r>
        <w:t>Won Water Stewardship and Clean Energy Champion awards in the Gold Category by the Financial Express Green Sarthi Award 2025</w:t>
      </w:r>
    </w:p>
    <w:p>
      <w:r>
        <w:t>Cash profit = EBITDA - Interest and Derivative cost -Income tax expenses + Share of Profit JV/Associates</w:t>
      </w:r>
    </w:p>
    <w:p>
      <w:r>
        <w:t>EBIDTA Margin is based on EBITDA from power supply excluding one time items</w:t>
      </w:r>
    </w:p>
    <w:p>
      <w:r>
        <w:t>Other expenses includes : One-time legal expenses Rs. 193 Cr and other one time write offs Rs 124 Cr (write offs, loss on sale of assets, LPS reversal)</w:t>
      </w:r>
    </w:p>
    <w:p>
      <w:r>
        <w:t xml:space="preserve">After due deliberations, the following resolution were passed: </w:t>
      </w:r>
    </w:p>
    <w:p>
      <w:r>
        <w:t>“RESOLVED THAT pursuant to Regulation 33 of the SEBI (Listing Obligations and Disclosure Requirements) Regulations, 2015, Unaudited Financial Results (Standalone and Consolidated) for the quarter and nine months ended 31st December, 2025 as reviewed by the Audit Committee and placed before the Board, be and is hereby considered, approved and be signed by anyone of the Directors / Chairman of the Company on behalf of the Board.</w:t>
      </w:r>
    </w:p>
    <w:p>
      <w:r>
        <w:t>RESOLVED FURTHER THAT the Limited Review Report on the Unaudited Financial Results (Standalone and Consolidated) for the quarter and nine months ended 31st December, 2025 as received from M/s. Dharmesh Parikh &amp; Co. LLP and M/s. S R B C &amp; Co. LLP, Chartered Accountants, Statutory Auditors of the Company and placed before the Board, be and is hereby noted.</w:t>
      </w:r>
    </w:p>
    <w:p>
      <w:r>
        <w:t>RESOLVED FURTHER THAT the certificate duly signed by Mr. Ashish Khanna, Chief Executive Officer and Mr. Saurabh Shah, Chief Financial Officer of the Company stating the correctness of Unaudited Financial Results for the quarter and nine months ended 31st December, 2025, be and is hereby noted.</w:t>
      </w:r>
    </w:p>
    <w:p>
      <w:r>
        <w:t>RESOLVED FURTHER THAT any one of the Directors of the Company or Mr. Saurabh Shah, Chief Financial Officer or Mr. Pragnesh Darji, Company Secretary of the Company be and are hereby severally authorized to do necessary formalities for compliance of stipulated provisions under Regulation 33, 46 &amp; 47 of SEBI (Listing Obligations and Disclosure Requirements) Regulations, 2015 or any matter in connection therewith.”</w:t>
      </w:r>
    </w:p>
    <w:p>
      <w:r>
        <w:t xml:space="preserve">To consider and approve following policies: </w:t>
      </w:r>
    </w:p>
    <w:p>
      <w:r>
        <w:t>Related Party Transaction Policy;</w:t>
      </w:r>
    </w:p>
    <w:p>
      <w:r>
        <w:t>Whistle Blower Policy; and</w:t>
      </w:r>
    </w:p>
    <w:p>
      <w:r>
        <w:t>Sanction Compliance Policy</w:t>
      </w:r>
    </w:p>
    <w:p>
      <w:r>
        <w:t>The Board was informed that on account of recent changes under SEBI LODR w.r.t. Related Party Transactions and Industry Standard Note on RPTs, it is proposed to amend the existing Related Party Transaction policy of the Company.</w:t>
      </w:r>
    </w:p>
    <w:p>
      <w:r>
        <w:t>The Board was also informed that it is also proposed to adopt the amended related party transaction policy for the Company, wherein the changes are proposed to be made to make the policy even more robust and without deviating / waiving off from any of the requirements of approval, as may be advised by the Audit Committee / Board, from time to time.</w:t>
      </w:r>
    </w:p>
    <w:p>
      <w:r>
        <w:t>Further, with an objective of ensuring compliance with international sanctions regime and to mitigate potential legal risks in foreign trade transactions, it was proposed to formally adopt the Sanctions Compliance Policy which mandates adherence to sanctions laws from the UN, EU, U.S., and UK, outlining requirements for due diligence, transaction and vessel screening, recordkeeping, training, and reporting to prevent violations, with disciplinary measures for non-compliance and protections against retaliation.</w:t>
      </w:r>
    </w:p>
    <w:p>
      <w:r>
        <w:t>Amended draft of these policies were attached herewith for review by the Board. The committee deliberated on the same.</w:t>
      </w:r>
    </w:p>
    <w:p>
      <w:r>
        <w:t>The Board was also noted that the proposed changes in the Related Party Transaction Policy is also subject to review and approval by the Audit Committee of the Company. Audit Committee shall consider the policy at its meeting scheduled to be held on 22nd April, 2025.</w:t>
      </w:r>
    </w:p>
    <w:p>
      <w:r>
        <w:t xml:space="preserve">The Board considered the same and passed the following resolution: </w:t>
      </w:r>
    </w:p>
    <w:p>
      <w:r>
        <w:t>“RESOLVED THAT the amended drafts of the following policies of the Company, as placed before the Board duly initialed by the Company Secretary for the purpose of identification be and are hereby approved and that the Company Secretary of the Company be and is hereby authorized to host the amended policies on the website of the Company.”</w:t>
      </w:r>
    </w:p>
    <w:p>
      <w:r>
        <w:t>Related Party Transaction Policy;</w:t>
      </w:r>
    </w:p>
    <w:p>
      <w:r>
        <w:t>Whistle Blower Policy; and</w:t>
      </w:r>
    </w:p>
    <w:p>
      <w:r>
        <w:t>Sanction Compliance Policy</w:t>
      </w:r>
    </w:p>
    <w:p>
      <w:r>
        <w:t xml:space="preserve">With the permission of Chairman, the Company Secretary announced the summary of the decisions taken at the meeting and announced that none of the members had dissented on the decisions taken at the meeting. Before concluding, the Company Secretary made the roll call and confirmed the presence of quorum throughout the meeting. </w:t>
      </w:r>
    </w:p>
    <w:p>
      <w:r>
        <w:t>VOTE OF THANKS</w:t>
      </w:r>
    </w:p>
    <w:p>
      <w:r>
        <w:t>Thereafter, there being no other business to transact, the meeting concluded with a vote of thanks to the chair at 01.45 pm.</w:t>
      </w:r>
    </w:p>
    <w:p>
      <w:r>
        <w:t xml:space="preserve">Date of entry: </w:t>
      </w:r>
    </w:p>
    <w:p>
      <w:r>
        <w:t>Date of signing:</w:t>
      </w:r>
    </w:p>
    <w:p>
      <w:r>
        <w:t>Place:</w:t>
        <w:tab/>
        <w:t>Ahmedabad</w:t>
        <w:tab/>
        <w:tab/>
        <w:tab/>
        <w:tab/>
        <w:tab/>
        <w:tab/>
        <w:t xml:space="preserve">       </w:t>
        <w:tab/>
        <w:t xml:space="preserve">     </w:t>
      </w:r>
    </w:p>
    <w:p>
      <w:r>
        <w:t>CHAIRMAN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