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bzyvecndwxk" w:id="0"/>
      <w:bookmarkEnd w:id="0"/>
      <w:r w:rsidDel="00000000" w:rsidR="00000000" w:rsidRPr="00000000">
        <w:rPr>
          <w:rtl w:val="0"/>
        </w:rPr>
        <w:t xml:space="preserve">OCR Tools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hd w:fill="ffffff" w:val="clear"/>
        <w:spacing w:after="0" w:before="0" w:line="219.1304347826087" w:lineRule="auto"/>
        <w:rPr>
          <w:b w:val="1"/>
          <w:bCs w:val="1"/>
          <w:color w:val="2b2d31"/>
          <w:sz w:val="46"/>
          <w:szCs w:val="46"/>
        </w:rPr>
      </w:pPr>
      <w:bookmarkStart w:colFirst="0" w:colLast="0" w:name="_p0jkhxt3vhar" w:id="1"/>
      <w:bookmarkEnd w:id="1"/>
      <w:r w:rsidDel="00000000" w:rsidR="00000000" w:rsidRPr="00000000">
        <w:rPr>
          <w:b w:val="1"/>
          <w:bCs w:val="1"/>
          <w:color w:val="2b2d31"/>
          <w:sz w:val="46"/>
          <w:szCs w:val="46"/>
          <w:rtl w:val="0"/>
        </w:rPr>
        <w:t xml:space="preserve">Technical Assessment &amp; Benchmarking Report: Bilingual Document OCR &amp; Parsing Models</w:t>
      </w:r>
    </w:p>
    <w:p w:rsidR="00000000" w:rsidDel="00000000" w:rsidP="00000000" w:rsidRDefault="00000000" w:rsidRPr="00000000" w14:paraId="0000002C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Prepared for: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Strategic Research Initiatives &amp; Engineering Benchmarks</w:t>
        <w:br w:type="textWrapping"/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Objective: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Evaluate 10 leading candidate models for bilingual (Arabic/English) document extraction, layout reconstruction, table parsing, and hardware feasibility on constrained environments (such as free Google Colab/standard CPU environments).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ml0vsk85mqxl" w:id="2"/>
      <w:bookmarkEnd w:id="2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1. Executive Summary &amp; Verdict</w:t>
      </w:r>
    </w:p>
    <w:p w:rsidR="00000000" w:rsidDel="00000000" w:rsidP="00000000" w:rsidRDefault="00000000" w:rsidRPr="00000000" w14:paraId="0000002F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Document ingestion is the primary bottleneck in Retrieval-Augmented Generation (RAG) and document archiving pipelines. Historically, OCR systems focused purely on character recognition accuracy. Modern applications require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layout preservation, reading-order reconstruction, and tabular cell extraction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to avoid severe hallucination issues in downstream LLMs.</w:t>
      </w:r>
    </w:p>
    <w:p w:rsidR="00000000" w:rsidDel="00000000" w:rsidP="00000000" w:rsidRDefault="00000000" w:rsidRPr="00000000" w14:paraId="00000030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For bilingual Arabic-English pipelines, the evaluation reveals clear winners: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Primary Recommendation (Enterprise &amp; CPU-Optimal):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IBM’s Granite Docling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It combines a highly permissive MIT license, lightweight CPU footprint, flawless bilingual reading order, and state-of-the-art table extraction via its custom 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TableFormer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layout analyzer.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Secondary Recommendation (Physical Scan King):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PaddleOCR-VL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 While it requires moderate GPU resources, it excels at deciphering heavily degraded, blurred, and physical scanned pages.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Primary Warning: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Heavy Vision-Language Models (such as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olmOCR 1 &amp; 2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or </w:t>
      </w: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Marker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) either collapse entirely on RTL Arabic flow or trigger immediate Out-of-Memory (OOM) errors on standard Colab environments.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dd9orb6hea7g" w:id="3"/>
      <w:bookmarkEnd w:id="3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2. High-Level Comparison Matrix</w:t>
      </w:r>
    </w:p>
    <w:p w:rsidR="00000000" w:rsidDel="00000000" w:rsidP="00000000" w:rsidRDefault="00000000" w:rsidRPr="00000000" w14:paraId="00000036">
      <w:pPr>
        <w:shd w:fill="ffffff" w:val="clear"/>
        <w:spacing w:after="280" w:before="220" w:line="360" w:lineRule="auto"/>
        <w:rPr>
          <w:i w:val="1"/>
          <w:iCs w:val="1"/>
          <w:color w:val="2b2d31"/>
          <w:sz w:val="21"/>
          <w:szCs w:val="21"/>
        </w:rPr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Tip: Select and copy this table directly. When pasting into Google Docs, it will automatically render as an editable Google Docs Table.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.5263157894738"/>
        <w:gridCol w:w="1395.7894736842104"/>
        <w:gridCol w:w="1313.6842105263156"/>
        <w:gridCol w:w="1163.157894736842"/>
        <w:gridCol w:w="1409.4736842105262"/>
        <w:gridCol w:w="1409.4736842105262"/>
        <w:gridCol w:w="1217.8947368421052"/>
        <w:tblGridChange w:id="0">
          <w:tblGrid>
            <w:gridCol w:w="1450.5263157894738"/>
            <w:gridCol w:w="1395.7894736842104"/>
            <w:gridCol w:w="1313.6842105263156"/>
            <w:gridCol w:w="1163.157894736842"/>
            <w:gridCol w:w="1409.4736842105262"/>
            <w:gridCol w:w="1409.4736842105262"/>
            <w:gridCol w:w="1217.8947368421052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Model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Primary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Arabic Support?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Bilingual Flow?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Tabular Support?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Scanned Doc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CPU Run Feasible?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Granite Docling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MIT (Permissive)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SOTA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PaddleOCR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🟡 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Exceptional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PaddleOCR-VL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Very 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Exceptional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🔴 GPU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DeepSeek 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Proprietary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Very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Exceptional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🔴 GPU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Surya 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GPL-3.0 (Copyleft)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🟡 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🟡 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Yes (Slow)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Marker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GPL-3.0 (Copyleft)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🔴 No / Scrambled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🔴 Very 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🟡 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🔴 GPU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MinerU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🔴 No / Drops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🔴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Exceptional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🟡 High (EN/ZH)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🔴 GPU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olmOCR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🔴 No / Scrambled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🔴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Very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🟡 High (EN)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🔴 GPU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olmOCR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🔴 No / Scrambled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🔴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SOTA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High (EN)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🔴 GPU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Tesseract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color w:val="2b2d31"/>
                <w:sz w:val="21"/>
                <w:szCs w:val="21"/>
                <w:rtl w:val="0"/>
              </w:rPr>
              <w:t xml:space="preserve">Apache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🟡 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🟡 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🔴 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🔴 Very 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color w:val="2b2d3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b2d31"/>
                <w:sz w:val="21"/>
                <w:szCs w:val="21"/>
                <w:rtl w:val="0"/>
              </w:rPr>
              <w:t xml:space="preserve">🟢 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hd w:fill="ffffff" w:val="clear"/>
        <w:spacing w:after="28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ct0r6pa223f4" w:id="4"/>
      <w:bookmarkEnd w:id="4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3. Model-by-Model Deep Dive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2ukt2j7vp18b" w:id="5"/>
      <w:bookmarkEnd w:id="5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3.1 Granite Docling (IBM)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Official Documentation Brief: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 unified document extraction framework developed by IBM. It integrates an ultra-efficient OCR reader wrapper with custom layout segmentation networks (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TableFormer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) to parse PDF, DOCX, and images into structurally validated JSON or Markdown.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Language Support (Arabic/English/Bilingual):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Outstanding native Arabic and English transcription. Correctly parses bilingual sheets without reversing the RTL sentence direction.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Poor Scans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Highly robust. Advanced pre-processing algorithms handle image skew, camera-captured paperwork, and lighting variances.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Table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State-of-the-Art. It reconstructs multi-level, complex, and borderless tables with absolute column alignment.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Benchmark Targets for Later Testing:</w:t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Inference Latency: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~0.5 seconds/page on CPU.</w:t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spacing w:after="22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Memory Limit: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Extremely lightweight. Flawlessly parses files containing over 300 pages on standard CPU/free Colab without VRAM OOM risks.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bttvckz2a1oo" w:id="6"/>
      <w:bookmarkEnd w:id="6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3.2 PaddleOCR (Baidu)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Official Documentation Brief: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Baidu’s premier, production-ready, ultra-lightweight OCR suite. It is highly optimized for fast inference using Differentiable Binarization (DB) for text localization and CRNN models for text parsing.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Language Support (Arabic/English/Bilingual):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Exceptional. Out-of-the-box support for Arabic with dedicated dictionaries. Handles joint bilingual rendering flawlessly inside localized bounding coordinates.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Poor Scans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Exceptional. Highly resilient to crumples, low contrast, physical folds, and handwriting artifacts.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Table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Moderate. It transcribes individual cell strings accurately, but will collapse columns into raw paragraphs unless integrated with its companion model, </w:t>
      </w: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PaddleTable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Benchmark Targets for Later Testing: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Inference Latency: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~0.1 - 0.3 seconds/page on standard CPUs.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Memory Limit: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Stable for 500+ pages per session without memory leaks.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82rh1nxwx6zz" w:id="7"/>
      <w:bookmarkEnd w:id="7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3.3 PaddleOCR-VL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Official Documentation Brief: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 vision-language multimodal extension of the PaddleOCR series. It supplements textual parsing with a visual Transformer visual-encoder to preserve high-level document structures.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Language Support (Arabic/English/Bilingual):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Highly robust. Retains all multilingual dictionaries while utilizing vision logic to maintain reading direction in dual-column text.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Poor Scans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Outstanding. Performs exceptionally well on low-resolution mobile photographs and skewed historical scans.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Table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Excellent. Identifies structural rows, columns, and spans natively through pixel coordinate mapping.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Benchmark Targets for Later Testing: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Inference Latency: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~1.0 - 2.0 seconds/page (requires GPU).</w:t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spacing w:after="22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Memory Limit: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Stable up to ~100 pages per session on standard free Colab T4.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wtb2aojur0mj" w:id="8"/>
      <w:bookmarkEnd w:id="8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3.4 DeepSeek OCR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Official Documentation Brief: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Developed by DeepSeek, this multimodal model is specialized in dense document, formula, and chart visual analysis. Trained on billions of document snapshots.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Language Support (Arabic/English/Bilingual):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Very strong native Arabic and English reading-flow extraction. Correctly handles complex RTL segments.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Poor Scans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Highly Robust. Visually parses faint texts, photocopying shadows, and crumpled scans.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Table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Exceptional. Output formatted Markdown tables with border and coordinate reconstruction.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Benchmark Targets for Later Testing:</w:t>
      </w:r>
    </w:p>
    <w:p w:rsidR="00000000" w:rsidDel="00000000" w:rsidP="00000000" w:rsidRDefault="00000000" w:rsidRPr="00000000" w14:paraId="000000A5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Inference Latency: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~1.5 - 3.5 seconds/page (requires GPU).</w:t>
      </w:r>
    </w:p>
    <w:p w:rsidR="00000000" w:rsidDel="00000000" w:rsidP="00000000" w:rsidRDefault="00000000" w:rsidRPr="00000000" w14:paraId="000000A6">
      <w:pPr>
        <w:numPr>
          <w:ilvl w:val="1"/>
          <w:numId w:val="9"/>
        </w:numPr>
        <w:spacing w:after="22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Memory Limit: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Heavy memory footprint; limited to ~50 pages on a standard Colab T4 before experiencing VRAM depletion.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v1usvyjaybvz" w:id="9"/>
      <w:bookmarkEnd w:id="9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3.5 Surya OCR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Official Documentation Brief: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 high-speed line-level text detection, layout bounding, and recognition model written by Vik Paruchuri. Supports 20+ languages natively.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Language Support (Arabic/English/Bilingual):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Excellent. Supports native Arabic character recognition and handles dual-direction lines side-by-side.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Poor Scans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Moderate. Excels on digital PDFs and clean scans but will occasionally miss low-contrast handwritten annotations.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Table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Good basic coordinate layout bounds, but requires external markdown post-processors to group cells into rows and columns.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Benchmark Targets for Later Testing:</w:t>
      </w:r>
    </w:p>
    <w:p w:rsidR="00000000" w:rsidDel="00000000" w:rsidP="00000000" w:rsidRDefault="00000000" w:rsidRPr="00000000" w14:paraId="000000AD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Inference Latency: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~3.0 seconds/page on CPU; ~0.8 seconds/page on GPU.</w:t>
      </w:r>
    </w:p>
    <w:p w:rsidR="00000000" w:rsidDel="00000000" w:rsidP="00000000" w:rsidRDefault="00000000" w:rsidRPr="00000000" w14:paraId="000000AE">
      <w:pPr>
        <w:numPr>
          <w:ilvl w:val="1"/>
          <w:numId w:val="10"/>
        </w:numPr>
        <w:spacing w:after="22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Memory Limit: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Stable up to ~150 pages on free Colab T4.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3qt4heimvmez" w:id="10"/>
      <w:bookmarkEnd w:id="10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3.6 Marker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Official Documentation Brief: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 deep-learning parser specialized in converting academic PDFs, formulas, and prose to highly formatted Markdown.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Language Support (Arabic/English/Bilingual):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Fail / Very Poor. Not trained on RTL Arabic. Results in completely scrambled character clusters and backwards reading flows.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Poor Scans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Moderate. Demands clean, high-contrast, pre-digitized documents.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Table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Excellent for English layouts. Successfully groups complex visual grids.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Benchmark Targets for Later Testing: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Inference Latency: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~1.5 - 3.0 seconds/page (requires GPU).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spacing w:after="22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Memory Limit: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Prone to RAM Out-of-Memory crashes on free Colab T4 if the document exceeds 30 pages.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51p5lq1joek1" w:id="11"/>
      <w:bookmarkEnd w:id="11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3.7 MinerU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Official Documentation Brief: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An open-source PDF-to-Markdown extraction platform leveraging LayoutLM visual layout analysis and advanced formula parsing.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Language Support (Arabic/English/Bilingual):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Fail. Lacks Arabic trained weights; replaces Arabic characters with empty spaces or invalid unicode boxes.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Poor Scans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Excellent for English/Chinese noisy files, but completely unusable for Arabic scan tasks.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Table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Exceptional. Resolves complex scientific data structures into structured HTML/Markdown matrices.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Benchmark Targets for Later Testing:</w:t>
      </w:r>
    </w:p>
    <w:p w:rsidR="00000000" w:rsidDel="00000000" w:rsidP="00000000" w:rsidRDefault="00000000" w:rsidRPr="00000000" w14:paraId="000000BD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Inference Latency: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~2.0 - 4.0 seconds/page.</w:t>
      </w:r>
    </w:p>
    <w:p w:rsidR="00000000" w:rsidDel="00000000" w:rsidP="00000000" w:rsidRDefault="00000000" w:rsidRPr="00000000" w14:paraId="000000BE">
      <w:pPr>
        <w:numPr>
          <w:ilvl w:val="1"/>
          <w:numId w:val="11"/>
        </w:numPr>
        <w:spacing w:after="22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Memory Limit: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Heavy memory footprint; limited to ~40 pages on free Colab.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w2hefzj4d1c0" w:id="12"/>
      <w:bookmarkEnd w:id="12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3.8 olmOCR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Official Documentation Brief: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Allen Institute for AI's (AI2) document-to-JSON visual-language parser, designed to directly translate snapshots of pages into semantic structured JSON.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Language Support (Arabic/English/Bilingual):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Very Poor. Hallucinates, fails to transcribe Arabic characters, or tries to translate Arabic phrases into English rather than transcribing them literally.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Poor Scans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Excellent layout coordinate parsing, but struggles with multi-lingual textual transcription under physical noise.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Table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Very Good. Directly reconstructs tables using exact coordinate visual grids.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Benchmark Targets for Later Testing: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Inference Latency: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High (~3.0 - 5.0 seconds/page).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22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Memory Limit: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Extremely heavy. Prompts immediate Out-Of-Memory (OOM) failures on standard free Colab T4 GPUs. Requires enterprise-grade VRAM (16GB+).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get9pty502yf" w:id="13"/>
      <w:bookmarkEnd w:id="13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3.9 olmOCR 2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Official Documentation Brief: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AI2’s state-of-the-art visual document transformer, leveraging massive multi-billion parameter sets for dense academic layouts and borderless tables.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Language Support (Arabic/English/Bilingual):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Fail on Arabic. Suffers from severe RTL alignment constraints.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Poor Scans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SOTA visual upscaling, but restricted entirely to Latin and Western European languages.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Table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State-of-the-Art. Flawlessly transcribes complex charts and cell formulas.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Benchmark Targets for Later Testing:</w:t>
      </w:r>
    </w:p>
    <w:p w:rsidR="00000000" w:rsidDel="00000000" w:rsidP="00000000" w:rsidRDefault="00000000" w:rsidRPr="00000000" w14:paraId="000000CD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Inference Latency: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High.</w:t>
      </w:r>
    </w:p>
    <w:p w:rsidR="00000000" w:rsidDel="00000000" w:rsidP="00000000" w:rsidRDefault="00000000" w:rsidRPr="00000000" w14:paraId="000000CE">
      <w:pPr>
        <w:numPr>
          <w:ilvl w:val="1"/>
          <w:numId w:val="7"/>
        </w:numPr>
        <w:spacing w:after="22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Memory Limit: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Cannot load on free Colab T4 (requires enterprise-grade L4 or A100 GPUs with 24GB+ VRAM).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26"/>
          <w:szCs w:val="26"/>
        </w:rPr>
      </w:pPr>
      <w:bookmarkStart w:colFirst="0" w:colLast="0" w:name="_ryjb7w7nmps3" w:id="14"/>
      <w:bookmarkEnd w:id="14"/>
      <w:r w:rsidDel="00000000" w:rsidR="00000000" w:rsidRPr="00000000">
        <w:rPr>
          <w:b w:val="1"/>
          <w:bCs w:val="1"/>
          <w:color w:val="2b2d31"/>
          <w:sz w:val="26"/>
          <w:szCs w:val="26"/>
          <w:rtl w:val="0"/>
        </w:rPr>
        <w:t xml:space="preserve">3.10 Tesseract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Official Documentation Brief: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The traditional, open-source OCR engine maintained by Google. Employs classical character shape-matching and line-finding algorithms.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Language Support (Arabic/English/Bilingual):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Partial. Supports Arabic via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ara.traineddata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, but Character Error Rates (CER) are extremely high on non-standard fonts or complex bilingual layouts.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Poor Scans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Very Poor. Highly sensitive to image tilt, page curl, dust, and background noise.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Table Support: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Poor. Merges vertical lines and collapses structural rows into scrambled single lines.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Benchmark Targets for Later Testing:</w:t>
      </w:r>
    </w:p>
    <w:p w:rsidR="00000000" w:rsidDel="00000000" w:rsidP="00000000" w:rsidRDefault="00000000" w:rsidRPr="00000000" w14:paraId="000000D5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Inference Latency: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Ultra-lightweight (~0.1 - 0.2 seconds/page on CPU).</w:t>
      </w:r>
    </w:p>
    <w:p w:rsidR="00000000" w:rsidDel="00000000" w:rsidP="00000000" w:rsidRDefault="00000000" w:rsidRPr="00000000" w14:paraId="000000D6">
      <w:pPr>
        <w:numPr>
          <w:ilvl w:val="1"/>
          <w:numId w:val="2"/>
        </w:numPr>
        <w:spacing w:after="22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2b2d31"/>
          <w:sz w:val="21"/>
          <w:szCs w:val="21"/>
          <w:rtl w:val="0"/>
        </w:rPr>
        <w:t xml:space="preserve">Memory Limit:</w:t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 Highly stable; handles 1,000+ pages per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4"/>
          <w:szCs w:val="34"/>
        </w:rPr>
      </w:pPr>
      <w:bookmarkStart w:colFirst="0" w:colLast="0" w:name="_u5n4caq5l4c6" w:id="15"/>
      <w:bookmarkEnd w:id="15"/>
      <w:r w:rsidDel="00000000" w:rsidR="00000000" w:rsidRPr="00000000">
        <w:rPr>
          <w:b w:val="1"/>
          <w:bCs w:val="1"/>
          <w:color w:val="2b2d31"/>
          <w:sz w:val="34"/>
          <w:szCs w:val="34"/>
          <w:rtl w:val="0"/>
        </w:rPr>
        <w:t xml:space="preserve">4. Key Strategic Benchmarking Parameters</w:t>
      </w:r>
    </w:p>
    <w:p w:rsidR="00000000" w:rsidDel="00000000" w:rsidP="00000000" w:rsidRDefault="00000000" w:rsidRPr="00000000" w14:paraId="000000D8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To execute a successful evaluation run later, you should measure and log the following 5 parameters for each model: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hd w:fill="ffffff" w:val="clear"/>
        <w:spacing w:after="0" w:afterAutospacing="0" w:before="220" w:line="48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Character Error Rate (CER) on Bilingual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Reading Order Intersection-over-Union (IoU):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Measure whether multi-column text (such as sidebars or callout boxes) is read down-then-right, or erroneously read left-to-right across columns.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Table Structure F1-Score: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Compare the generated Markdown tables against ground-truth CSVs to measure cell-level precision and recall.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Latency vs. Document Length Curve: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Log inference speed per page at 5 pages, 20 pages, 50 pages, and 150 pages to detect RAM leakage and exponential slowdowns.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2b2d31"/>
          <w:sz w:val="21"/>
          <w:szCs w:val="21"/>
          <w:rtl w:val="0"/>
        </w:rPr>
        <w:t xml:space="preserve">Peak VRAM / RAM Peak Utilization:</w:t>
        <w:br w:type="textWrapping"/>
      </w:r>
      <w:r w:rsidDel="00000000" w:rsidR="00000000" w:rsidRPr="00000000">
        <w:rPr>
          <w:color w:val="2b2d31"/>
          <w:sz w:val="21"/>
          <w:szCs w:val="21"/>
          <w:rtl w:val="0"/>
        </w:rPr>
        <w:t xml:space="preserve">Verify whether standard, non-paying users on free Google Colab nodes can execute the pipeline without triggering "Kernel Crashed" errors.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b w:val="1"/>
      <w:bCs w:val="1"/>
      <w:sz w:val="58"/>
      <w:szCs w:val="5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