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  <w:jc w:val="center"/>
      </w:pPr>
      <w:r>
        <w:rPr>
          <w:rFonts w:ascii="Times New Roman" w:hAnsi="Times New Roman"/>
          <w:b/>
          <w:color w:val="1F4E79"/>
          <w:sz w:val="30"/>
        </w:rPr>
        <w:t>INDIVIDUAL CONTRIBUTION REPORT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154"/>
        <w:gridCol w:w="4154"/>
      </w:tblGrid>
      <w:tr>
        <w:trPr>
          <w:cantSplit/>
        </w:trPr>
        <w:tc>
          <w:tcPr>
            <w:tcW w:type="dxa" w:w="2592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262626"/>
                <w:sz w:val="17"/>
              </w:rPr>
              <w:t>Course &amp; Project</w:t>
            </w:r>
          </w:p>
        </w:tc>
        <w:tc>
          <w:tcPr>
            <w:tcW w:type="dxa" w:w="5616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7"/>
              </w:rPr>
              <w:t>BCSE332L Deep Learning — Course Project (Fall Semester 2026–2027)</w:t>
            </w:r>
          </w:p>
        </w:tc>
      </w:tr>
      <w:tr>
        <w:trPr>
          <w:cantSplit/>
        </w:trPr>
        <w:tc>
          <w:tcPr>
            <w:tcW w:type="dxa" w:w="2592"/>
            <w:shd w:fill="F2F4F7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262626"/>
                <w:sz w:val="17"/>
              </w:rPr>
              <w:t>Project Title</w:t>
            </w:r>
          </w:p>
        </w:tc>
        <w:tc>
          <w:tcPr>
            <w:tcW w:type="dxa" w:w="5616"/>
            <w:shd w:fill="F2F4F7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7"/>
              </w:rPr>
              <w:t>TRUST-X: An Integrated Trustworthiness Evaluation Framework for Transformer-Based Multilingual Code-Mixed Hate and Offensive Speech Detection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262626"/>
                <w:sz w:val="17"/>
              </w:rPr>
              <w:t>Candidate Name</w:t>
            </w:r>
          </w:p>
        </w:tc>
        <w:tc>
          <w:tcPr>
            <w:tcW w:type="dxa" w:w="5616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7"/>
              </w:rPr>
              <w:t>Jeevan G A</w:t>
            </w:r>
          </w:p>
        </w:tc>
      </w:tr>
      <w:tr>
        <w:trPr>
          <w:cantSplit/>
        </w:trPr>
        <w:tc>
          <w:tcPr>
            <w:tcW w:type="dxa" w:w="2592"/>
            <w:shd w:fill="F2F4F7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262626"/>
                <w:sz w:val="17"/>
              </w:rPr>
              <w:t>Register Number</w:t>
            </w:r>
          </w:p>
        </w:tc>
        <w:tc>
          <w:tcPr>
            <w:tcW w:type="dxa" w:w="5616"/>
            <w:shd w:fill="F2F4F7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7"/>
              </w:rPr>
              <w:t>23BAI0140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262626"/>
                <w:sz w:val="17"/>
              </w:rPr>
              <w:t>Primary Technical Focus</w:t>
            </w:r>
          </w:p>
        </w:tc>
        <w:tc>
          <w:tcPr>
            <w:tcW w:type="dxa" w:w="5616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7"/>
              </w:rPr>
              <w:t>Dataset Acquisition, Preprocessing, Schema Normalization &amp; Data Quality Auditing</w:t>
            </w:r>
          </w:p>
        </w:tc>
      </w:tr>
    </w:tbl>
    <w:p>
      <w:pPr>
        <w:spacing w:after="80"/>
      </w:pPr>
    </w:p>
    <w:p>
      <w:pPr>
        <w:keepNext/>
        <w:spacing w:before="200" w:after="80"/>
        <w:jc w:val="left"/>
      </w:pPr>
      <w:r>
        <w:rPr>
          <w:rFonts w:ascii="Times New Roman" w:hAnsi="Times New Roman"/>
          <w:b/>
          <w:color w:val="1F4E79"/>
          <w:sz w:val="24"/>
        </w:rPr>
        <w:t>1. EXECUTIVE SUMMARY OF TECHNICAL ROLE</w:t>
      </w:r>
    </w:p>
    <w:p>
      <w:pPr>
        <w:spacing w:before="0" w:after="80" w:line="300" w:lineRule="auto"/>
        <w:jc w:val="both"/>
      </w:pPr>
      <w:r>
        <w:rPr>
          <w:rFonts w:ascii="Times New Roman" w:hAnsi="Times New Roman"/>
          <w:color w:val="262626"/>
          <w:sz w:val="21"/>
        </w:rPr>
        <w:t>As the Lead Data Engineer for the TRUST-X project, my responsibilities focused on acquiring, curating, auditing, and preprocessing all multilingual and code-mixed benchmark corpora across Telugu, Tamil, Malayalam, and Hindi. I established the standardized internal data representation schema, designed text sanitization routines preserving code-mixed orthography, conducted extensive duplicate and noise auditing, verified label mappings, and constructed stratified data splits to prevent data leakage.</w:t>
      </w:r>
    </w:p>
    <w:p>
      <w:pPr>
        <w:keepNext/>
        <w:spacing w:before="200" w:after="80"/>
        <w:jc w:val="left"/>
      </w:pPr>
      <w:r>
        <w:rPr>
          <w:rFonts w:ascii="Times New Roman" w:hAnsi="Times New Roman"/>
          <w:b/>
          <w:color w:val="1F4E79"/>
          <w:sz w:val="24"/>
        </w:rPr>
        <w:t>2. SCOPE OF RESPONSIBILITIES AND MODULE OWNERSHIP</w:t>
      </w:r>
    </w:p>
    <w:p>
      <w:pPr>
        <w:spacing w:before="0" w:after="80" w:line="300" w:lineRule="auto"/>
        <w:jc w:val="both"/>
      </w:pPr>
      <w:r>
        <w:rPr>
          <w:rFonts w:ascii="Times New Roman" w:hAnsi="Times New Roman"/>
          <w:color w:val="262626"/>
          <w:sz w:val="21"/>
        </w:rPr>
        <w:t>My primary contributions centered on five foundational data engineering areas:</w:t>
      </w:r>
    </w:p>
    <w:p>
      <w:pPr>
        <w:spacing w:before="0" w:after="80" w:line="300" w:lineRule="auto"/>
        <w:jc w:val="both"/>
      </w:pPr>
      <w:r>
        <w:rPr>
          <w:rFonts w:ascii="Times New Roman" w:hAnsi="Times New Roman"/>
          <w:color w:val="262626"/>
          <w:sz w:val="21"/>
        </w:rPr>
        <w:t>1. Multilingual Corpus Acquisition: Ingesting raw benchmark datasets across diverse formats (.txt, .xlsx, TSV) spanning Telugu HOLD, Tamil DravidianCodeMix, Malayalam DravidianCodeMix, and Hindi HECM.</w:t>
      </w:r>
    </w:p>
    <w:p>
      <w:pPr>
        <w:spacing w:before="0" w:after="80" w:line="300" w:lineRule="auto"/>
        <w:jc w:val="both"/>
      </w:pPr>
      <w:r>
        <w:rPr>
          <w:rFonts w:ascii="Times New Roman" w:hAnsi="Times New Roman"/>
          <w:color w:val="262626"/>
          <w:sz w:val="21"/>
        </w:rPr>
        <w:t>2. Data Quality &amp; Imbalance Auditing: Developing `src/data/audit.py` to systematically profile missing text fields, character/token lengths, vocabulary sparsity, and class skew across partitions.</w:t>
      </w:r>
    </w:p>
    <w:p>
      <w:pPr>
        <w:spacing w:before="0" w:after="80" w:line="300" w:lineRule="auto"/>
        <w:jc w:val="both"/>
      </w:pPr>
      <w:r>
        <w:rPr>
          <w:rFonts w:ascii="Times New Roman" w:hAnsi="Times New Roman"/>
          <w:color w:val="262626"/>
          <w:sz w:val="21"/>
        </w:rPr>
        <w:t>3. Text Cleaning &amp; Orthographic Normalization: Designing `src/data/preprocessing.py` to sanitize raw social media comments (stripping URLs, usernames, formatting anomalies) while carefully retaining Latin transliteration, code-mixed script boundaries, and emotional punctuation.</w:t>
      </w:r>
    </w:p>
    <w:p>
      <w:pPr>
        <w:spacing w:before="0" w:after="80" w:line="300" w:lineRule="auto"/>
        <w:jc w:val="both"/>
      </w:pPr>
      <w:r>
        <w:rPr>
          <w:rFonts w:ascii="Times New Roman" w:hAnsi="Times New Roman"/>
          <w:color w:val="262626"/>
          <w:sz w:val="21"/>
        </w:rPr>
        <w:t>4. Deduplication &amp; Conflict Resolution: Purging 51 duplicate comments in Telugu, resolving 25 contradictory label groups in Hindi HECM, and filtering non-target language noise (e.g., `not-Tamil` and `not-malayalam`).</w:t>
      </w:r>
    </w:p>
    <w:p>
      <w:pPr>
        <w:spacing w:before="0" w:after="80" w:line="300" w:lineRule="auto"/>
        <w:jc w:val="both"/>
      </w:pPr>
      <w:r>
        <w:rPr>
          <w:rFonts w:ascii="Times New Roman" w:hAnsi="Times New Roman"/>
          <w:color w:val="262626"/>
          <w:sz w:val="21"/>
        </w:rPr>
        <w:t>5. Partitioning &amp; Schema Serialization: Implementing stratified 70/15/15 train/dev/test splits, isolating and quarantining unlabelled test sets, and serializing clean UTF-8 CSV datasets.</w:t>
      </w:r>
    </w:p>
    <w:p>
      <w:pPr>
        <w:keepNext/>
        <w:spacing w:before="200" w:after="80"/>
        <w:jc w:val="left"/>
      </w:pPr>
      <w:r>
        <w:rPr>
          <w:rFonts w:ascii="Times New Roman" w:hAnsi="Times New Roman"/>
          <w:b/>
          <w:color w:val="1F4E79"/>
          <w:sz w:val="24"/>
        </w:rPr>
        <w:t>3. DETAILED TECHNICAL WORK PERFORMED</w:t>
      </w:r>
    </w:p>
    <w:p>
      <w:pPr>
        <w:keepNext/>
        <w:spacing w:before="120" w:after="40"/>
        <w:jc w:val="left"/>
      </w:pPr>
      <w:r>
        <w:rPr>
          <w:rFonts w:ascii="Times New Roman" w:hAnsi="Times New Roman"/>
          <w:b/>
          <w:i/>
          <w:color w:val="262626"/>
          <w:sz w:val="22"/>
        </w:rPr>
        <w:t>3.1 Data Ingestion and Standardized Schema Design</w:t>
      </w:r>
    </w:p>
    <w:p>
      <w:pPr>
        <w:spacing w:before="0" w:after="80" w:line="300" w:lineRule="auto"/>
        <w:jc w:val="both"/>
      </w:pPr>
      <w:r>
        <w:rPr>
          <w:rFonts w:ascii="Times New Roman" w:hAnsi="Times New Roman"/>
          <w:color w:val="262626"/>
          <w:sz w:val="21"/>
        </w:rPr>
        <w:t>Raw datasets featured disparate ingestion formats: Telugu was distributed as multi-sheet Excel files with missing test labels; Tamil and Malayalam were unheadered TSVs with 5-class offensive taxonomies; Hindi comprised two separate unindexed text files (`HECM.txt` and `HECM_Class.txt`). I designed a standardized unified schema (`id, text, label, original_label, language`) and authored loaders in `src/data/loaders.py` converting raw inputs into PyTorch `Dataset` instances.</w:t>
      </w:r>
    </w:p>
    <w:p>
      <w:pPr>
        <w:keepNext/>
        <w:spacing w:before="120" w:after="40"/>
        <w:jc w:val="left"/>
      </w:pPr>
      <w:r>
        <w:rPr>
          <w:rFonts w:ascii="Times New Roman" w:hAnsi="Times New Roman"/>
          <w:b/>
          <w:i/>
          <w:color w:val="262626"/>
          <w:sz w:val="22"/>
        </w:rPr>
        <w:t>3.2 Rigorous Quality Audits and Duplicate Resolution</w:t>
      </w:r>
    </w:p>
    <w:p>
      <w:pPr>
        <w:spacing w:before="0" w:after="80" w:line="300" w:lineRule="auto"/>
        <w:jc w:val="both"/>
      </w:pPr>
      <w:r>
        <w:rPr>
          <w:rFonts w:ascii="Times New Roman" w:hAnsi="Times New Roman"/>
          <w:color w:val="262626"/>
          <w:sz w:val="21"/>
        </w:rPr>
        <w:t>In Telugu HOLD, I identified 51 exact duplicate comments, reducing the training set from 4,000 to 3,941 clean samples before partitioning. In Hindi HECM, line-by-line programmatic auditing revealed 25 conflicting text instances associated with opposing labels; these were quarantined and excluded, yielding 9,214 reliable instances. In Tamil and Malayalam, multi-class labels (`Offensive_Untargetede`, `Offensive_Targeted_Insult_Group`, etc.) were collapsed into a standardized binary label (0 = Non-Harmful, 1 = Harmful), while non-regional language instances (`not-Tamil`: 1,786 rows; `not-malayalam`: 1,607 rows) were purged. In Malayalam, I documented the extreme 24:1 class skew (only 4.28% offensive in the test split of 1,844 samples), which became a focal point of our model failure analysis.</w:t>
      </w:r>
    </w:p>
    <w:p>
      <w:pPr>
        <w:keepNext/>
        <w:spacing w:before="200" w:after="80"/>
        <w:jc w:val="left"/>
      </w:pPr>
      <w:r>
        <w:rPr>
          <w:rFonts w:ascii="Times New Roman" w:hAnsi="Times New Roman"/>
          <w:b/>
          <w:color w:val="1F4E79"/>
          <w:sz w:val="24"/>
        </w:rPr>
        <w:t>4. ASSOCIATED CODEBASE FILES AND ARTIFACTS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154"/>
        <w:gridCol w:w="4154"/>
      </w:tblGrid>
      <w:tr>
        <w:trPr>
          <w:tblHeader/>
          <w:cantSplit/>
        </w:trPr>
        <w:tc>
          <w:tcPr>
            <w:tcW w:type="dxa" w:w="2880"/>
            <w:shd w:fill="1F4E79"/>
            <w:tcMar>
              <w:top w:w="35" w:type="dxa"/>
              <w:bottom w:w="3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Source File / Directory</w:t>
            </w:r>
          </w:p>
        </w:tc>
        <w:tc>
          <w:tcPr>
            <w:tcW w:type="dxa" w:w="5328"/>
            <w:shd w:fill="1F4E79"/>
            <w:tcMar>
              <w:top w:w="35" w:type="dxa"/>
              <w:bottom w:w="3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Specific Engineering Contribution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6"/>
              </w:rPr>
              <w:t>src/data/audit.py</w:t>
            </w:r>
          </w:p>
        </w:tc>
        <w:tc>
          <w:tcPr>
            <w:tcW w:type="dxa" w:w="5328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6"/>
              </w:rPr>
              <w:t>Lead author: automated dataset profiling, missing value detection, and length statistics.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6"/>
              </w:rPr>
              <w:t>src/data/preprocessing.py</w:t>
            </w:r>
          </w:p>
        </w:tc>
        <w:tc>
          <w:tcPr>
            <w:tcW w:type="dxa" w:w="5328"/>
            <w:shd w:fill="F2F4F7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6"/>
              </w:rPr>
              <w:t>Text cleaning regex engine, deduplication routines, and binary label normalization.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6"/>
              </w:rPr>
              <w:t>src/data/loaders.py</w:t>
            </w:r>
          </w:p>
        </w:tc>
        <w:tc>
          <w:tcPr>
            <w:tcW w:type="dxa" w:w="5328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6"/>
              </w:rPr>
              <w:t>Standardized PyTorch Dataset abstractions and tokenizer padding/truncation pipelines.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6"/>
              </w:rPr>
              <w:t>scripts/prepare_hecm_hindi.py</w:t>
            </w:r>
          </w:p>
        </w:tc>
        <w:tc>
          <w:tcPr>
            <w:tcW w:type="dxa" w:w="5328"/>
            <w:shd w:fill="F2F4F7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6"/>
              </w:rPr>
              <w:t>Hindi HECM alignment script, conflict group detection, and stratified split generator.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6"/>
              </w:rPr>
              <w:t>tables/dataset_audit.csv &amp; class_distributions.csv</w:t>
            </w:r>
          </w:p>
        </w:tc>
        <w:tc>
          <w:tcPr>
            <w:tcW w:type="dxa" w:w="5328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6"/>
              </w:rPr>
              <w:t>Generated comprehensive data distribution and token length profiling tables.</w:t>
            </w:r>
          </w:p>
        </w:tc>
      </w:tr>
      <w:tr>
        <w:trPr>
          <w:cantSplit/>
        </w:trPr>
        <w:tc>
          <w:tcPr>
            <w:tcW w:type="dxa" w:w="2880"/>
            <w:shd w:fill="F2F4F7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6"/>
              </w:rPr>
              <w:t>reports/dataset_audit_report.md</w:t>
            </w:r>
          </w:p>
        </w:tc>
        <w:tc>
          <w:tcPr>
            <w:tcW w:type="dxa" w:w="5328"/>
            <w:shd w:fill="F2F4F7"/>
            <w:tcMar>
              <w:top w:w="25" w:type="dxa"/>
              <w:bottom w:w="25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262626"/>
                <w:sz w:val="16"/>
              </w:rPr>
              <w:t>Authored formal technical report documenting corpus provenance and data quality decisions.</w:t>
            </w:r>
          </w:p>
        </w:tc>
      </w:tr>
    </w:tbl>
    <w:p>
      <w:pPr>
        <w:keepNext/>
        <w:spacing w:before="200" w:after="80"/>
        <w:jc w:val="left"/>
      </w:pPr>
      <w:r>
        <w:rPr>
          <w:rFonts w:ascii="Times New Roman" w:hAnsi="Times New Roman"/>
          <w:b/>
          <w:color w:val="1F4E79"/>
          <w:sz w:val="24"/>
        </w:rPr>
        <w:t>5. KEY DELIVERABLES AND OUTPUTS</w:t>
      </w:r>
    </w:p>
    <w:p>
      <w:pPr>
        <w:spacing w:before="0" w:after="80" w:line="300" w:lineRule="auto"/>
        <w:jc w:val="both"/>
      </w:pPr>
      <w:r>
        <w:rPr>
          <w:rFonts w:ascii="Times New Roman" w:hAnsi="Times New Roman"/>
          <w:color w:val="262626"/>
          <w:sz w:val="21"/>
        </w:rPr>
        <w:t>1. Clean, stratified, and serialized dataset splits under `Data/processed/{telugu, tamil, malayalam, hindi}/`.</w:t>
      </w:r>
    </w:p>
    <w:p>
      <w:pPr>
        <w:spacing w:before="0" w:after="80" w:line="300" w:lineRule="auto"/>
        <w:jc w:val="both"/>
      </w:pPr>
      <w:r>
        <w:rPr>
          <w:rFonts w:ascii="Times New Roman" w:hAnsi="Times New Roman"/>
          <w:color w:val="262626"/>
          <w:sz w:val="21"/>
        </w:rPr>
        <w:t>2. Figures 4.1, 4.2, and 4.3 in Chapter 4 illustrating class distributions, script transliteration, and length histograms.</w:t>
      </w:r>
    </w:p>
    <w:p>
      <w:pPr>
        <w:spacing w:before="0" w:after="80" w:line="300" w:lineRule="auto"/>
        <w:jc w:val="both"/>
      </w:pPr>
      <w:r>
        <w:rPr>
          <w:rFonts w:ascii="Times New Roman" w:hAnsi="Times New Roman"/>
          <w:color w:val="262626"/>
          <w:sz w:val="21"/>
        </w:rPr>
        <w:t>3. Summary tables (Table 4.1, 4.2, 4.3, 4.4) documenting data provenance, label mapping, and partition counts.</w:t>
      </w:r>
    </w:p>
    <w:p>
      <w:pPr>
        <w:spacing w:before="0" w:after="80" w:line="300" w:lineRule="auto"/>
        <w:jc w:val="both"/>
      </w:pPr>
      <w:r>
        <w:rPr>
          <w:rFonts w:ascii="Times New Roman" w:hAnsi="Times New Roman"/>
          <w:color w:val="262626"/>
          <w:sz w:val="21"/>
        </w:rPr>
        <w:t>4. Verification of the 1,844 Malayalam test sample count and zero cross-partition evaluation leakage.</w:t>
      </w:r>
    </w:p>
    <w:p>
      <w:pPr>
        <w:keepNext/>
        <w:spacing w:before="200" w:after="80"/>
        <w:jc w:val="left"/>
      </w:pPr>
      <w:r>
        <w:rPr>
          <w:rFonts w:ascii="Times New Roman" w:hAnsi="Times New Roman"/>
          <w:b/>
          <w:color w:val="1F4E79"/>
          <w:sz w:val="24"/>
        </w:rPr>
        <w:t>6. COLLABORATIVE VS. INDIVIDUAL BOUNDARY STATEMENT</w:t>
      </w:r>
    </w:p>
    <w:p>
      <w:pPr>
        <w:spacing w:before="0" w:after="80" w:line="300" w:lineRule="auto"/>
        <w:jc w:val="both"/>
      </w:pPr>
      <w:r>
        <w:rPr>
          <w:rFonts w:ascii="Times New Roman" w:hAnsi="Times New Roman"/>
          <w:color w:val="262626"/>
          <w:sz w:val="21"/>
        </w:rPr>
        <w:t>While I directed all data ingestion, preprocessing, and auditing, model fine-tuning orchestration was conducted by Shaik Mohammad Sohil, and downstream evaluation metrics (Macro-F1, ECE, SHAP, TWI) were formulated and executed by Shashank P. Class weighting thresholds and token truncation lengths were established in consultation with the full team.</w:t>
      </w:r>
    </w:p>
    <w:p>
      <w:pPr>
        <w:keepNext/>
        <w:spacing w:before="200" w:after="80"/>
        <w:jc w:val="left"/>
      </w:pPr>
      <w:r>
        <w:rPr>
          <w:rFonts w:ascii="Times New Roman" w:hAnsi="Times New Roman"/>
          <w:b/>
          <w:color w:val="1F4E79"/>
          <w:sz w:val="24"/>
        </w:rPr>
        <w:t>7. STUDENT CONFIRMATION AND VERIFICATION NOTE</w:t>
      </w:r>
    </w:p>
    <w:p>
      <w:pPr>
        <w:spacing w:before="0" w:after="80" w:line="300" w:lineRule="auto"/>
        <w:jc w:val="both"/>
      </w:pPr>
      <w:r>
        <w:rPr>
          <w:rFonts w:ascii="Times New Roman" w:hAnsi="Times New Roman"/>
          <w:color w:val="262626"/>
          <w:sz w:val="21"/>
        </w:rPr>
        <w:t>The data engineering tasks, preprocessing routines, and auditing artifacts described herein represent my personal contributions to the TRUST-X project. I confirm that all dataset cleaning modules, audit tables, and split distributions were authored and validated by me.</w:t>
      </w:r>
    </w:p>
    <w:p>
      <w:pPr>
        <w:spacing w:before="320" w:line="276" w:lineRule="auto"/>
      </w:pPr>
      <w:r>
        <w:rPr>
          <w:rFonts w:ascii="Times New Roman" w:hAnsi="Times New Roman"/>
          <w:sz w:val="20"/>
        </w:rPr>
        <w:t>Candidate Signature: _______________________</w:t>
        <w:br/>
        <w:t>Jeevan G A (23BAI0140)</w:t>
        <w:br/>
        <w:t>Date: October 28, 2026</w:t>
      </w:r>
    </w:p>
    <w:sectPr w:rsidR="00FC693F" w:rsidRPr="0006063C" w:rsidSect="00034616">
      <w:pgSz w:w="11909" w:h="16834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