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60"/>
        <w:jc w:val="center"/>
      </w:pPr>
      <w:r>
        <w:rPr>
          <w:rFonts w:ascii="Times New Roman" w:hAnsi="Times New Roman"/>
          <w:b/>
          <w:color w:val="1F4E79"/>
          <w:sz w:val="30"/>
        </w:rPr>
        <w:t>INDIVIDUAL CONTRIBUTION REPORT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154"/>
        <w:gridCol w:w="4154"/>
      </w:tblGrid>
      <w:tr>
        <w:trPr>
          <w:cantSplit/>
        </w:trPr>
        <w:tc>
          <w:tcPr>
            <w:tcW w:type="dxa" w:w="2592"/>
            <w:shd w:fill="FFFFFF"/>
            <w:tcMar>
              <w:top w:w="25" w:type="dxa"/>
              <w:bottom w:w="25" w:type="dxa"/>
              <w:left w:w="45" w:type="dxa"/>
              <w:right w:w="45" w:type="dxa"/>
            </w:tcMar>
            <w:vAlign w:val="center"/>
          </w:tcPr>
          <w:p>
            <w:pPr>
              <w:spacing w:before="0" w:after="0" w:line="276" w:lineRule="auto"/>
              <w:jc w:val="left"/>
            </w:pPr>
            <w:r>
              <w:rPr>
                <w:rFonts w:ascii="Times New Roman" w:hAnsi="Times New Roman"/>
                <w:b/>
                <w:color w:val="262626"/>
                <w:sz w:val="17"/>
              </w:rPr>
              <w:t>Course &amp; Project</w:t>
            </w:r>
          </w:p>
        </w:tc>
        <w:tc>
          <w:tcPr>
            <w:tcW w:type="dxa" w:w="5616"/>
            <w:shd w:fill="FFFFFF"/>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7"/>
              </w:rPr>
              <w:t>BCSE332L Deep Learning — Course Project (Fall Semester 2026–2027)</w:t>
            </w:r>
          </w:p>
        </w:tc>
      </w:tr>
      <w:tr>
        <w:trPr>
          <w:cantSplit/>
        </w:trPr>
        <w:tc>
          <w:tcPr>
            <w:tcW w:type="dxa" w:w="2592"/>
            <w:shd w:fill="F2F4F7"/>
            <w:tcMar>
              <w:top w:w="25" w:type="dxa"/>
              <w:bottom w:w="25" w:type="dxa"/>
              <w:left w:w="45" w:type="dxa"/>
              <w:right w:w="45" w:type="dxa"/>
            </w:tcMar>
            <w:vAlign w:val="center"/>
          </w:tcPr>
          <w:p>
            <w:pPr>
              <w:spacing w:before="0" w:after="0" w:line="276" w:lineRule="auto"/>
              <w:jc w:val="left"/>
            </w:pPr>
            <w:r>
              <w:rPr>
                <w:rFonts w:ascii="Times New Roman" w:hAnsi="Times New Roman"/>
                <w:b/>
                <w:color w:val="262626"/>
                <w:sz w:val="17"/>
              </w:rPr>
              <w:t>Project Title</w:t>
            </w:r>
          </w:p>
        </w:tc>
        <w:tc>
          <w:tcPr>
            <w:tcW w:type="dxa" w:w="5616"/>
            <w:shd w:fill="F2F4F7"/>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7"/>
              </w:rPr>
              <w:t>TRUST-X: An Integrated Trustworthiness Evaluation Framework for Transformer-Based Multilingual Code-Mixed Hate and Offensive Speech Detection</w:t>
            </w:r>
          </w:p>
        </w:tc>
      </w:tr>
      <w:tr>
        <w:trPr>
          <w:cantSplit/>
        </w:trPr>
        <w:tc>
          <w:tcPr>
            <w:tcW w:type="dxa" w:w="2592"/>
            <w:shd w:fill="FFFFFF"/>
            <w:tcMar>
              <w:top w:w="25" w:type="dxa"/>
              <w:bottom w:w="25" w:type="dxa"/>
              <w:left w:w="45" w:type="dxa"/>
              <w:right w:w="45" w:type="dxa"/>
            </w:tcMar>
            <w:vAlign w:val="center"/>
          </w:tcPr>
          <w:p>
            <w:pPr>
              <w:spacing w:before="0" w:after="0" w:line="276" w:lineRule="auto"/>
              <w:jc w:val="left"/>
            </w:pPr>
            <w:r>
              <w:rPr>
                <w:rFonts w:ascii="Times New Roman" w:hAnsi="Times New Roman"/>
                <w:b/>
                <w:color w:val="262626"/>
                <w:sz w:val="17"/>
              </w:rPr>
              <w:t>Candidate Name</w:t>
            </w:r>
          </w:p>
        </w:tc>
        <w:tc>
          <w:tcPr>
            <w:tcW w:type="dxa" w:w="5616"/>
            <w:shd w:fill="FFFFFF"/>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7"/>
              </w:rPr>
              <w:t>Shashank P</w:t>
            </w:r>
          </w:p>
        </w:tc>
      </w:tr>
      <w:tr>
        <w:trPr>
          <w:cantSplit/>
        </w:trPr>
        <w:tc>
          <w:tcPr>
            <w:tcW w:type="dxa" w:w="2592"/>
            <w:shd w:fill="F2F4F7"/>
            <w:tcMar>
              <w:top w:w="25" w:type="dxa"/>
              <w:bottom w:w="25" w:type="dxa"/>
              <w:left w:w="45" w:type="dxa"/>
              <w:right w:w="45" w:type="dxa"/>
            </w:tcMar>
            <w:vAlign w:val="center"/>
          </w:tcPr>
          <w:p>
            <w:pPr>
              <w:spacing w:before="0" w:after="0" w:line="276" w:lineRule="auto"/>
              <w:jc w:val="left"/>
            </w:pPr>
            <w:r>
              <w:rPr>
                <w:rFonts w:ascii="Times New Roman" w:hAnsi="Times New Roman"/>
                <w:b/>
                <w:color w:val="262626"/>
                <w:sz w:val="17"/>
              </w:rPr>
              <w:t>Register Number</w:t>
            </w:r>
          </w:p>
        </w:tc>
        <w:tc>
          <w:tcPr>
            <w:tcW w:type="dxa" w:w="5616"/>
            <w:shd w:fill="F2F4F7"/>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7"/>
              </w:rPr>
              <w:t>23BAI0152</w:t>
            </w:r>
          </w:p>
        </w:tc>
      </w:tr>
      <w:tr>
        <w:trPr>
          <w:cantSplit/>
        </w:trPr>
        <w:tc>
          <w:tcPr>
            <w:tcW w:type="dxa" w:w="2592"/>
            <w:shd w:fill="FFFFFF"/>
            <w:tcMar>
              <w:top w:w="25" w:type="dxa"/>
              <w:bottom w:w="25" w:type="dxa"/>
              <w:left w:w="45" w:type="dxa"/>
              <w:right w:w="45" w:type="dxa"/>
            </w:tcMar>
            <w:vAlign w:val="center"/>
          </w:tcPr>
          <w:p>
            <w:pPr>
              <w:spacing w:before="0" w:after="0" w:line="276" w:lineRule="auto"/>
              <w:jc w:val="left"/>
            </w:pPr>
            <w:r>
              <w:rPr>
                <w:rFonts w:ascii="Times New Roman" w:hAnsi="Times New Roman"/>
                <w:b/>
                <w:color w:val="262626"/>
                <w:sz w:val="17"/>
              </w:rPr>
              <w:t>Primary Technical Focus</w:t>
            </w:r>
          </w:p>
        </w:tc>
        <w:tc>
          <w:tcPr>
            <w:tcW w:type="dxa" w:w="5616"/>
            <w:shd w:fill="FFFFFF"/>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7"/>
              </w:rPr>
              <w:t>Trustworthiness Evaluation, Explainability, Robustness, Calibration &amp; Analytical Reporting</w:t>
            </w:r>
          </w:p>
        </w:tc>
      </w:tr>
    </w:tbl>
    <w:p>
      <w:pPr>
        <w:spacing w:after="80"/>
      </w:pPr>
    </w:p>
    <w:p>
      <w:pPr>
        <w:keepNext/>
        <w:spacing w:before="200" w:after="80"/>
        <w:jc w:val="left"/>
      </w:pPr>
      <w:r>
        <w:rPr>
          <w:rFonts w:ascii="Times New Roman" w:hAnsi="Times New Roman"/>
          <w:b/>
          <w:color w:val="1F4E79"/>
          <w:sz w:val="24"/>
        </w:rPr>
        <w:t>1. EXECUTIVE SUMMARY OF TECHNICAL ROLE</w:t>
      </w:r>
    </w:p>
    <w:p>
      <w:pPr>
        <w:spacing w:before="0" w:after="80" w:line="300" w:lineRule="auto"/>
        <w:jc w:val="both"/>
      </w:pPr>
      <w:r>
        <w:rPr>
          <w:rFonts w:ascii="Times New Roman" w:hAnsi="Times New Roman"/>
          <w:color w:val="262626"/>
          <w:sz w:val="21"/>
        </w:rPr>
        <w:t>As the Lead Trustworthiness and Evaluation Researcher for the TRUST-X project, my primary responsibilities centered on formulating, implementing, and validating the multi-dimensional evaluation methodology. I designed the four foundational evaluation pillars—Predictive Performance, Confidence Calibration (ECE &amp; Brier score), Linguistic Robustness (6-operator perturbation suite), and Explainability (SHAP token attribution compactness)—and formulated the composite Trustworthiness Index (TWI). I conducted extensive empirical evaluations across all 12 experiments, performed multi-profile sensitivity auditing, and authored the analytical results discussion.</w:t>
      </w:r>
    </w:p>
    <w:p>
      <w:pPr>
        <w:keepNext/>
        <w:spacing w:before="200" w:after="80"/>
        <w:jc w:val="left"/>
      </w:pPr>
      <w:r>
        <w:rPr>
          <w:rFonts w:ascii="Times New Roman" w:hAnsi="Times New Roman"/>
          <w:b/>
          <w:color w:val="1F4E79"/>
          <w:sz w:val="24"/>
        </w:rPr>
        <w:t>2. SCOPE OF RESPONSIBILITIES AND MODULE OWNERSHIP</w:t>
      </w:r>
    </w:p>
    <w:p>
      <w:pPr>
        <w:spacing w:before="0" w:after="80" w:line="300" w:lineRule="auto"/>
        <w:jc w:val="both"/>
      </w:pPr>
      <w:r>
        <w:rPr>
          <w:rFonts w:ascii="Times New Roman" w:hAnsi="Times New Roman"/>
          <w:color w:val="262626"/>
          <w:sz w:val="21"/>
        </w:rPr>
        <w:t>My verified contributions spanned five core analytical domains:</w:t>
      </w:r>
    </w:p>
    <w:p>
      <w:pPr>
        <w:spacing w:before="0" w:after="80" w:line="300" w:lineRule="auto"/>
        <w:jc w:val="both"/>
      </w:pPr>
      <w:r>
        <w:rPr>
          <w:rFonts w:ascii="Times New Roman" w:hAnsi="Times New Roman"/>
          <w:color w:val="262626"/>
          <w:sz w:val="21"/>
        </w:rPr>
        <w:t>1. Multi-Pillar Metric Formulation: Formulating mathematical definitions and normalizations for predictive Macro-F1, Expected Calibration Error (ECE across 10 bins), Brier score, and perturbation retention.</w:t>
      </w:r>
    </w:p>
    <w:p>
      <w:pPr>
        <w:spacing w:before="0" w:after="80" w:line="300" w:lineRule="auto"/>
        <w:jc w:val="both"/>
      </w:pPr>
      <w:r>
        <w:rPr>
          <w:rFonts w:ascii="Times New Roman" w:hAnsi="Times New Roman"/>
          <w:color w:val="262626"/>
          <w:sz w:val="21"/>
        </w:rPr>
        <w:t>2. Explainable AI &amp; SHAP Engineering: Developing `src/explainability/shap_analysis.py`, integrating the SHAP Text explainer, sampling balanced error subsets (TP, TN, FP, FN), and formulating the top-20% attribution compactness score.</w:t>
      </w:r>
    </w:p>
    <w:p>
      <w:pPr>
        <w:spacing w:before="0" w:after="80" w:line="300" w:lineRule="auto"/>
        <w:jc w:val="both"/>
      </w:pPr>
      <w:r>
        <w:rPr>
          <w:rFonts w:ascii="Times New Roman" w:hAnsi="Times New Roman"/>
          <w:color w:val="262626"/>
          <w:sz w:val="21"/>
        </w:rPr>
        <w:t>3. Confidence Calibration Modeling: Implementing `src/calibration/calibration.py`, generating reliability diagrams, auditing raw softmax calibration on test splits, and probing temperature scaling on validation logits.</w:t>
      </w:r>
    </w:p>
    <w:p>
      <w:pPr>
        <w:spacing w:before="0" w:after="80" w:line="300" w:lineRule="auto"/>
        <w:jc w:val="both"/>
      </w:pPr>
      <w:r>
        <w:rPr>
          <w:rFonts w:ascii="Times New Roman" w:hAnsi="Times New Roman"/>
          <w:color w:val="262626"/>
          <w:sz w:val="21"/>
        </w:rPr>
        <w:t>4. Linguistic Robustness Engine: Developing `src/robustness/perturbations.py` with 6 realistic code-mixed noise operators, evaluating F1 retention and prediction stability.</w:t>
      </w:r>
    </w:p>
    <w:p>
      <w:pPr>
        <w:spacing w:before="0" w:after="80" w:line="300" w:lineRule="auto"/>
        <w:jc w:val="both"/>
      </w:pPr>
      <w:r>
        <w:rPr>
          <w:rFonts w:ascii="Times New Roman" w:hAnsi="Times New Roman"/>
          <w:color w:val="262626"/>
          <w:sz w:val="21"/>
        </w:rPr>
        <w:t>5. Composite TWI Formulation &amp; Sensitivity Analysis: Implementing `src/twi/twi.py`, evaluating model rank invariance across Balanced, Performance-Heavy, Robustness-Heavy, and Calibration-Heavy profiles.</w:t>
      </w:r>
    </w:p>
    <w:p>
      <w:pPr>
        <w:keepNext/>
        <w:spacing w:before="200" w:after="80"/>
        <w:jc w:val="left"/>
      </w:pPr>
      <w:r>
        <w:rPr>
          <w:rFonts w:ascii="Times New Roman" w:hAnsi="Times New Roman"/>
          <w:b/>
          <w:color w:val="1F4E79"/>
          <w:sz w:val="24"/>
        </w:rPr>
        <w:t>3. DETAILED TECHNICAL WORK PERFORMED</w:t>
      </w:r>
    </w:p>
    <w:p>
      <w:pPr>
        <w:keepNext/>
        <w:spacing w:before="120" w:after="40"/>
        <w:jc w:val="left"/>
      </w:pPr>
      <w:r>
        <w:rPr>
          <w:rFonts w:ascii="Times New Roman" w:hAnsi="Times New Roman"/>
          <w:b/>
          <w:i/>
          <w:color w:val="262626"/>
          <w:sz w:val="22"/>
        </w:rPr>
        <w:t>3.1 Explainability and Compactness Formulation</w:t>
      </w:r>
    </w:p>
    <w:p>
      <w:pPr>
        <w:spacing w:before="0" w:after="80" w:line="300" w:lineRule="auto"/>
        <w:jc w:val="both"/>
      </w:pPr>
      <w:r>
        <w:rPr>
          <w:rFonts w:ascii="Times New Roman" w:hAnsi="Times New Roman"/>
          <w:color w:val="262626"/>
          <w:sz w:val="21"/>
        </w:rPr>
        <w:t>To quantitatively assess model interpretability without relying solely on subjective visual heatmaps, I implemented an attribution compactness metric using SHAP. Using tokenizer partition masking, I computed token importance values for representative test subsets. Explanation compactness was defined as the proportion of total absolute attribution concentrated in the top 20% of input tokens. This revealed that XLM-R produced significantly more focused explanations (compactness = 0.6037) than mBERT (0.4965) and IndicBERT (0.4622), which exhibited attribution diffusion over non-toxic syntactic particles.</w:t>
      </w:r>
    </w:p>
    <w:p>
      <w:pPr>
        <w:keepNext/>
        <w:spacing w:before="120" w:after="40"/>
        <w:jc w:val="left"/>
      </w:pPr>
      <w:r>
        <w:rPr>
          <w:rFonts w:ascii="Times New Roman" w:hAnsi="Times New Roman"/>
          <w:b/>
          <w:i/>
          <w:color w:val="262626"/>
          <w:sz w:val="22"/>
        </w:rPr>
        <w:t>3.2 Confidence Calibration and Robustness Stress-Testing</w:t>
      </w:r>
    </w:p>
    <w:p>
      <w:pPr>
        <w:spacing w:before="0" w:after="80" w:line="300" w:lineRule="auto"/>
        <w:jc w:val="both"/>
      </w:pPr>
      <w:r>
        <w:rPr>
          <w:rFonts w:ascii="Times New Roman" w:hAnsi="Times New Roman"/>
          <w:color w:val="262626"/>
          <w:sz w:val="21"/>
        </w:rPr>
        <w:t>I developed calibration evaluation routines computing ECE across 10 equal-width confidence bins alongside Brier score. Crucially, I verified that final reported test metrics reflected raw softmax probabilities without post-hoc temperature scaling. For robustness, I implemented 6 perturbation operators reflecting authentic social media noise: leet substitution, character deletion, repetition, punctuation insertion, whitespace modification, and composite perturbation. The composite robustness score combined F1 retention (60%) and prediction flip stability (40%), proving that mBERT and IndicBERT suffered severe degradation under leet obfuscations.</w:t>
      </w:r>
    </w:p>
    <w:p>
      <w:pPr>
        <w:keepNext/>
        <w:spacing w:before="120" w:after="40"/>
        <w:jc w:val="left"/>
      </w:pPr>
      <w:r>
        <w:rPr>
          <w:rFonts w:ascii="Times New Roman" w:hAnsi="Times New Roman"/>
          <w:b/>
          <w:i/>
          <w:color w:val="262626"/>
          <w:sz w:val="22"/>
        </w:rPr>
        <w:t>3.3 TWI Synthesis and Sensitivity Auditing</w:t>
      </w:r>
    </w:p>
    <w:p>
      <w:pPr>
        <w:spacing w:before="0" w:after="80" w:line="300" w:lineRule="auto"/>
        <w:jc w:val="both"/>
      </w:pPr>
      <w:r>
        <w:rPr>
          <w:rFonts w:ascii="Times New Roman" w:hAnsi="Times New Roman"/>
          <w:color w:val="262626"/>
          <w:sz w:val="21"/>
        </w:rPr>
        <w:t>I formulated the composite Trustworthiness Index: TWI = w_perf * P + w_expl * E + w_rob * R + w_calib * C. To evaluate whether model rankings were sensitive to subjective weight choices, I evaluated 4 distinct weighting profiles. My sensitivity audit demonstrated that XLM-R consistently retained Rank 1 across all four profiles (mean TWI = 0.7634), establishing empirical ranking invariance across the studied configurations.</w:t>
      </w:r>
    </w:p>
    <w:p>
      <w:pPr>
        <w:keepNext/>
        <w:spacing w:before="200" w:after="80"/>
        <w:jc w:val="left"/>
      </w:pPr>
      <w:r>
        <w:rPr>
          <w:rFonts w:ascii="Times New Roman" w:hAnsi="Times New Roman"/>
          <w:b/>
          <w:color w:val="1F4E79"/>
          <w:sz w:val="24"/>
        </w:rPr>
        <w:t>4. ASSOCIATED CODEBASE FILES AND ARTIFACTS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154"/>
        <w:gridCol w:w="4154"/>
      </w:tblGrid>
      <w:tr>
        <w:trPr>
          <w:tblHeader/>
          <w:cantSplit/>
        </w:trPr>
        <w:tc>
          <w:tcPr>
            <w:tcW w:type="dxa" w:w="2880"/>
            <w:shd w:fill="1F4E79"/>
            <w:tcMar>
              <w:top w:w="35" w:type="dxa"/>
              <w:bottom w:w="35" w:type="dxa"/>
              <w:left w:w="45" w:type="dxa"/>
              <w:right w:w="45" w:type="dxa"/>
            </w:tcMar>
            <w:vAlign w:val="center"/>
          </w:tcPr>
          <w:p>
            <w:pPr>
              <w:spacing w:before="0" w:after="0" w:line="240" w:lineRule="auto"/>
              <w:jc w:val="center"/>
            </w:pPr>
            <w:r>
              <w:rPr>
                <w:rFonts w:ascii="Times New Roman" w:hAnsi="Times New Roman"/>
                <w:b/>
                <w:color w:val="FFFFFF"/>
                <w:sz w:val="16"/>
              </w:rPr>
              <w:t>Source File / Directory</w:t>
            </w:r>
          </w:p>
        </w:tc>
        <w:tc>
          <w:tcPr>
            <w:tcW w:type="dxa" w:w="5328"/>
            <w:shd w:fill="1F4E79"/>
            <w:tcMar>
              <w:top w:w="35" w:type="dxa"/>
              <w:bottom w:w="35" w:type="dxa"/>
              <w:left w:w="45" w:type="dxa"/>
              <w:right w:w="45" w:type="dxa"/>
            </w:tcMar>
            <w:vAlign w:val="center"/>
          </w:tcPr>
          <w:p>
            <w:pPr>
              <w:spacing w:before="0" w:after="0" w:line="240" w:lineRule="auto"/>
              <w:jc w:val="center"/>
            </w:pPr>
            <w:r>
              <w:rPr>
                <w:rFonts w:ascii="Times New Roman" w:hAnsi="Times New Roman"/>
                <w:b/>
                <w:color w:val="FFFFFF"/>
                <w:sz w:val="16"/>
              </w:rPr>
              <w:t>Specific Engineering Contribution</w:t>
            </w:r>
          </w:p>
        </w:tc>
      </w:tr>
      <w:tr>
        <w:trPr>
          <w:cantSplit/>
        </w:trPr>
        <w:tc>
          <w:tcPr>
            <w:tcW w:type="dxa" w:w="2880"/>
            <w:shd w:fill="FFFFFF"/>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6"/>
              </w:rPr>
              <w:t>src/evaluation/metrics.py</w:t>
            </w:r>
          </w:p>
        </w:tc>
        <w:tc>
          <w:tcPr>
            <w:tcW w:type="dxa" w:w="5328"/>
            <w:shd w:fill="FFFFFF"/>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6"/>
              </w:rPr>
              <w:t>Lead author: macro-averaged classification metrics, precision, recall, confusion matrix.</w:t>
            </w:r>
          </w:p>
        </w:tc>
      </w:tr>
      <w:tr>
        <w:trPr>
          <w:cantSplit/>
        </w:trPr>
        <w:tc>
          <w:tcPr>
            <w:tcW w:type="dxa" w:w="2880"/>
            <w:shd w:fill="F2F4F7"/>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6"/>
              </w:rPr>
              <w:t>src/explainability/shap_analysis.py</w:t>
            </w:r>
          </w:p>
        </w:tc>
        <w:tc>
          <w:tcPr>
            <w:tcW w:type="dxa" w:w="5328"/>
            <w:shd w:fill="F2F4F7"/>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6"/>
              </w:rPr>
              <w:t>SHAP Text explainer integration, subset extraction, and top-20% compactness scoring.</w:t>
            </w:r>
          </w:p>
        </w:tc>
      </w:tr>
      <w:tr>
        <w:trPr>
          <w:cantSplit/>
        </w:trPr>
        <w:tc>
          <w:tcPr>
            <w:tcW w:type="dxa" w:w="2880"/>
            <w:shd w:fill="FFFFFF"/>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6"/>
              </w:rPr>
              <w:t>src/calibration/calibration.py</w:t>
            </w:r>
          </w:p>
        </w:tc>
        <w:tc>
          <w:tcPr>
            <w:tcW w:type="dxa" w:w="5328"/>
            <w:shd w:fill="FFFFFF"/>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6"/>
              </w:rPr>
              <w:t>ECE binning algorithm, Brier score calculation, reliability diagrams, and temperature module.</w:t>
            </w:r>
          </w:p>
        </w:tc>
      </w:tr>
      <w:tr>
        <w:trPr>
          <w:cantSplit/>
        </w:trPr>
        <w:tc>
          <w:tcPr>
            <w:tcW w:type="dxa" w:w="2880"/>
            <w:shd w:fill="F2F4F7"/>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6"/>
              </w:rPr>
              <w:t>src/robustness/perturbations.py &amp; evaluate.py</w:t>
            </w:r>
          </w:p>
        </w:tc>
        <w:tc>
          <w:tcPr>
            <w:tcW w:type="dxa" w:w="5328"/>
            <w:shd w:fill="F2F4F7"/>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6"/>
              </w:rPr>
              <w:t>Six perturbation operators, F1 retention evaluation, and prediction flip rate tracking.</w:t>
            </w:r>
          </w:p>
        </w:tc>
      </w:tr>
      <w:tr>
        <w:trPr>
          <w:cantSplit/>
        </w:trPr>
        <w:tc>
          <w:tcPr>
            <w:tcW w:type="dxa" w:w="2880"/>
            <w:shd w:fill="FFFFFF"/>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6"/>
              </w:rPr>
              <w:t>src/twi/twi.py</w:t>
            </w:r>
          </w:p>
        </w:tc>
        <w:tc>
          <w:tcPr>
            <w:tcW w:type="dxa" w:w="5328"/>
            <w:shd w:fill="FFFFFF"/>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6"/>
              </w:rPr>
              <w:t>Mathematical formulation of TWI, normalization functions, and multi-profile sensitivity analysis.</w:t>
            </w:r>
          </w:p>
        </w:tc>
      </w:tr>
      <w:tr>
        <w:trPr>
          <w:cantSplit/>
        </w:trPr>
        <w:tc>
          <w:tcPr>
            <w:tcW w:type="dxa" w:w="2880"/>
            <w:shd w:fill="F2F4F7"/>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6"/>
              </w:rPr>
              <w:t>tables/final_results.csv &amp; twi_sensitivity*.csv</w:t>
            </w:r>
          </w:p>
        </w:tc>
        <w:tc>
          <w:tcPr>
            <w:tcW w:type="dxa" w:w="5328"/>
            <w:shd w:fill="F2F4F7"/>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6"/>
              </w:rPr>
              <w:t>Compiled canonical result tables, model averages, and sensitivity ranking audits.</w:t>
            </w:r>
          </w:p>
        </w:tc>
      </w:tr>
    </w:tbl>
    <w:p>
      <w:pPr>
        <w:keepNext/>
        <w:spacing w:before="200" w:after="80"/>
        <w:jc w:val="left"/>
      </w:pPr>
      <w:r>
        <w:rPr>
          <w:rFonts w:ascii="Times New Roman" w:hAnsi="Times New Roman"/>
          <w:b/>
          <w:color w:val="1F4E79"/>
          <w:sz w:val="24"/>
        </w:rPr>
        <w:t>5. KEY DELIVERABLES AND OUTPUTS</w:t>
      </w:r>
    </w:p>
    <w:p>
      <w:pPr>
        <w:spacing w:before="0" w:after="80" w:line="300" w:lineRule="auto"/>
        <w:jc w:val="both"/>
      </w:pPr>
      <w:r>
        <w:rPr>
          <w:rFonts w:ascii="Times New Roman" w:hAnsi="Times New Roman"/>
          <w:color w:val="262626"/>
          <w:sz w:val="21"/>
        </w:rPr>
        <w:t>1. Master results tables in Chapter 7 (Table 7.1, 7.2, 7.3, 7.4, 7.5, 7.6, 7.7, and Appendix Table C.1).</w:t>
      </w:r>
    </w:p>
    <w:p>
      <w:pPr>
        <w:spacing w:before="0" w:after="80" w:line="300" w:lineRule="auto"/>
        <w:jc w:val="both"/>
      </w:pPr>
      <w:r>
        <w:rPr>
          <w:rFonts w:ascii="Times New Roman" w:hAnsi="Times New Roman"/>
          <w:color w:val="262626"/>
          <w:sz w:val="21"/>
        </w:rPr>
        <w:t>2. High-resolution analytical figures: Macro-F1 comparison (Fig 7.1), TWI bar chart (Fig 7.2), multi-pillar radar charts (Fig 7.3), accuracy vs F1 scatter (Fig 7.4), reliability diagram (Fig 7.8), and sensitivity plots (Fig 7.6).</w:t>
      </w:r>
    </w:p>
    <w:p>
      <w:pPr>
        <w:spacing w:before="0" w:after="80" w:line="300" w:lineRule="auto"/>
        <w:jc w:val="both"/>
      </w:pPr>
      <w:r>
        <w:rPr>
          <w:rFonts w:ascii="Times New Roman" w:hAnsi="Times New Roman"/>
          <w:color w:val="262626"/>
          <w:sz w:val="21"/>
        </w:rPr>
        <w:t>3. Formal empirical verification of rank stability ($XLM\text{-}R &gt; mBERT &gt; IndicBERT$) under four sensitivity weighting profiles.</w:t>
      </w:r>
    </w:p>
    <w:p>
      <w:pPr>
        <w:spacing w:before="0" w:after="80" w:line="300" w:lineRule="auto"/>
        <w:jc w:val="both"/>
      </w:pPr>
      <w:r>
        <w:rPr>
          <w:rFonts w:ascii="Times New Roman" w:hAnsi="Times New Roman"/>
          <w:color w:val="262626"/>
          <w:sz w:val="21"/>
        </w:rPr>
        <w:t>4. Qualitative diagnostic error analysis identifying political and protest false-positive lexical triggers in Hindi XLM-R.</w:t>
      </w:r>
    </w:p>
    <w:p>
      <w:pPr>
        <w:keepNext/>
        <w:spacing w:before="200" w:after="80"/>
        <w:jc w:val="left"/>
      </w:pPr>
      <w:r>
        <w:rPr>
          <w:rFonts w:ascii="Times New Roman" w:hAnsi="Times New Roman"/>
          <w:b/>
          <w:color w:val="1F4E79"/>
          <w:sz w:val="24"/>
        </w:rPr>
        <w:t>6. COLLABORATIVE VS. INDIVIDUAL BOUNDARY STATEMENT</w:t>
      </w:r>
    </w:p>
    <w:p>
      <w:pPr>
        <w:spacing w:before="0" w:after="80" w:line="300" w:lineRule="auto"/>
        <w:jc w:val="both"/>
      </w:pPr>
      <w:r>
        <w:rPr>
          <w:rFonts w:ascii="Times New Roman" w:hAnsi="Times New Roman"/>
          <w:color w:val="262626"/>
          <w:sz w:val="21"/>
        </w:rPr>
        <w:t>While I directed metric formulation, explainability, calibration, and robustness evaluation, pipeline orchestration and UI development were carried out by Shaik Mohammad Sohil, and dataset curation, deduplication, and schema engineering were conducted by Jeevan G A. Experimental interpretations and diagnostic case studies were collaboratively analyzed by the entire team.</w:t>
      </w:r>
    </w:p>
    <w:p>
      <w:pPr>
        <w:keepNext/>
        <w:spacing w:before="200" w:after="80"/>
        <w:jc w:val="left"/>
      </w:pPr>
      <w:r>
        <w:rPr>
          <w:rFonts w:ascii="Times New Roman" w:hAnsi="Times New Roman"/>
          <w:b/>
          <w:color w:val="1F4E79"/>
          <w:sz w:val="24"/>
        </w:rPr>
        <w:t>7. STUDENT CONFIRMATION AND VERIFICATION NOTE</w:t>
      </w:r>
    </w:p>
    <w:p>
      <w:pPr>
        <w:spacing w:before="0" w:after="80" w:line="300" w:lineRule="auto"/>
        <w:jc w:val="both"/>
      </w:pPr>
      <w:r>
        <w:rPr>
          <w:rFonts w:ascii="Times New Roman" w:hAnsi="Times New Roman"/>
          <w:color w:val="262626"/>
          <w:sz w:val="21"/>
        </w:rPr>
        <w:t>The evaluation methodologies, explainability algorithms, calibration routines, and empirical results documented herein accurately represent my individual contributions to the TRUST-X project. I confirm that all mathematical formulations, evaluation modules, and analytical figures were designed and executed by me.</w:t>
      </w:r>
    </w:p>
    <w:p>
      <w:pPr>
        <w:spacing w:before="320" w:line="276" w:lineRule="auto"/>
      </w:pPr>
      <w:r>
        <w:rPr>
          <w:rFonts w:ascii="Times New Roman" w:hAnsi="Times New Roman"/>
          <w:sz w:val="20"/>
        </w:rPr>
        <w:t>Candidate Signature: _______________________</w:t>
        <w:br/>
        <w:t>Shashank P (23BAI0152)</w:t>
        <w:br/>
        <w:t>Date: October 28, 2026</w:t>
      </w:r>
    </w:p>
    <w:sectPr w:rsidR="00FC693F" w:rsidRPr="0006063C" w:rsidSect="00034616">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