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jc w:val="center"/>
      </w:pPr>
      <w:r>
        <w:rPr>
          <w:rFonts w:ascii="Times New Roman" w:hAnsi="Times New Roman"/>
          <w:b/>
          <w:color w:val="1F4E79"/>
          <w:sz w:val="30"/>
        </w:rPr>
        <w:t>INDIVIDUAL CONTRIBUTION REPORT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154"/>
        <w:gridCol w:w="4154"/>
      </w:tblGrid>
      <w:tr>
        <w:trPr>
          <w:cantSplit/>
        </w:trPr>
        <w:tc>
          <w:tcPr>
            <w:tcW w:type="dxa" w:w="2592"/>
            <w:shd w:fill="FFFFFF"/>
            <w:tcMar>
              <w:top w:w="25" w:type="dxa"/>
              <w:bottom w:w="25" w:type="dxa"/>
              <w:left w:w="45" w:type="dxa"/>
              <w:right w:w="45" w:type="dxa"/>
            </w:tcMar>
            <w:vAlign w:val="center"/>
          </w:tcPr>
          <w:p>
            <w:pPr>
              <w:spacing w:before="0" w:after="0" w:line="276" w:lineRule="auto"/>
              <w:jc w:val="left"/>
            </w:pPr>
            <w:r>
              <w:rPr>
                <w:rFonts w:ascii="Times New Roman" w:hAnsi="Times New Roman"/>
                <w:b/>
                <w:color w:val="262626"/>
                <w:sz w:val="17"/>
              </w:rPr>
              <w:t>Course &amp; Project</w:t>
            </w:r>
          </w:p>
        </w:tc>
        <w:tc>
          <w:tcPr>
            <w:tcW w:type="dxa" w:w="5616"/>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7"/>
              </w:rPr>
              <w:t>BCSE332L Deep Learning — Course Project (Fall Semester 2026–2027)</w:t>
            </w:r>
          </w:p>
        </w:tc>
      </w:tr>
      <w:tr>
        <w:trPr>
          <w:cantSplit/>
        </w:trPr>
        <w:tc>
          <w:tcPr>
            <w:tcW w:type="dxa" w:w="2592"/>
            <w:shd w:fill="F2F4F7"/>
            <w:tcMar>
              <w:top w:w="25" w:type="dxa"/>
              <w:bottom w:w="25" w:type="dxa"/>
              <w:left w:w="45" w:type="dxa"/>
              <w:right w:w="45" w:type="dxa"/>
            </w:tcMar>
            <w:vAlign w:val="center"/>
          </w:tcPr>
          <w:p>
            <w:pPr>
              <w:spacing w:before="0" w:after="0" w:line="276" w:lineRule="auto"/>
              <w:jc w:val="left"/>
            </w:pPr>
            <w:r>
              <w:rPr>
                <w:rFonts w:ascii="Times New Roman" w:hAnsi="Times New Roman"/>
                <w:b/>
                <w:color w:val="262626"/>
                <w:sz w:val="17"/>
              </w:rPr>
              <w:t>Project Title</w:t>
            </w:r>
          </w:p>
        </w:tc>
        <w:tc>
          <w:tcPr>
            <w:tcW w:type="dxa" w:w="5616"/>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7"/>
              </w:rPr>
              <w:t>TRUST-X: An Integrated Trustworthiness Evaluation Framework for Transformer-Based Multilingual Code-Mixed Hate and Offensive Speech Detection</w:t>
            </w:r>
          </w:p>
        </w:tc>
      </w:tr>
      <w:tr>
        <w:trPr>
          <w:cantSplit/>
        </w:trPr>
        <w:tc>
          <w:tcPr>
            <w:tcW w:type="dxa" w:w="2592"/>
            <w:shd w:fill="FFFFFF"/>
            <w:tcMar>
              <w:top w:w="25" w:type="dxa"/>
              <w:bottom w:w="25" w:type="dxa"/>
              <w:left w:w="45" w:type="dxa"/>
              <w:right w:w="45" w:type="dxa"/>
            </w:tcMar>
            <w:vAlign w:val="center"/>
          </w:tcPr>
          <w:p>
            <w:pPr>
              <w:spacing w:before="0" w:after="0" w:line="276" w:lineRule="auto"/>
              <w:jc w:val="left"/>
            </w:pPr>
            <w:r>
              <w:rPr>
                <w:rFonts w:ascii="Times New Roman" w:hAnsi="Times New Roman"/>
                <w:b/>
                <w:color w:val="262626"/>
                <w:sz w:val="17"/>
              </w:rPr>
              <w:t>Candidate Name</w:t>
            </w:r>
          </w:p>
        </w:tc>
        <w:tc>
          <w:tcPr>
            <w:tcW w:type="dxa" w:w="5616"/>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7"/>
              </w:rPr>
              <w:t>Shaik Mohammad Sohil</w:t>
            </w:r>
          </w:p>
        </w:tc>
      </w:tr>
      <w:tr>
        <w:trPr>
          <w:cantSplit/>
        </w:trPr>
        <w:tc>
          <w:tcPr>
            <w:tcW w:type="dxa" w:w="2592"/>
            <w:shd w:fill="F2F4F7"/>
            <w:tcMar>
              <w:top w:w="25" w:type="dxa"/>
              <w:bottom w:w="25" w:type="dxa"/>
              <w:left w:w="45" w:type="dxa"/>
              <w:right w:w="45" w:type="dxa"/>
            </w:tcMar>
            <w:vAlign w:val="center"/>
          </w:tcPr>
          <w:p>
            <w:pPr>
              <w:spacing w:before="0" w:after="0" w:line="276" w:lineRule="auto"/>
              <w:jc w:val="left"/>
            </w:pPr>
            <w:r>
              <w:rPr>
                <w:rFonts w:ascii="Times New Roman" w:hAnsi="Times New Roman"/>
                <w:b/>
                <w:color w:val="262626"/>
                <w:sz w:val="17"/>
              </w:rPr>
              <w:t>Register Number</w:t>
            </w:r>
          </w:p>
        </w:tc>
        <w:tc>
          <w:tcPr>
            <w:tcW w:type="dxa" w:w="5616"/>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7"/>
              </w:rPr>
              <w:t>23BAI0133</w:t>
            </w:r>
          </w:p>
        </w:tc>
      </w:tr>
      <w:tr>
        <w:trPr>
          <w:cantSplit/>
        </w:trPr>
        <w:tc>
          <w:tcPr>
            <w:tcW w:type="dxa" w:w="2592"/>
            <w:shd w:fill="FFFFFF"/>
            <w:tcMar>
              <w:top w:w="25" w:type="dxa"/>
              <w:bottom w:w="25" w:type="dxa"/>
              <w:left w:w="45" w:type="dxa"/>
              <w:right w:w="45" w:type="dxa"/>
            </w:tcMar>
            <w:vAlign w:val="center"/>
          </w:tcPr>
          <w:p>
            <w:pPr>
              <w:spacing w:before="0" w:after="0" w:line="276" w:lineRule="auto"/>
              <w:jc w:val="left"/>
            </w:pPr>
            <w:r>
              <w:rPr>
                <w:rFonts w:ascii="Times New Roman" w:hAnsi="Times New Roman"/>
                <w:b/>
                <w:color w:val="262626"/>
                <w:sz w:val="17"/>
              </w:rPr>
              <w:t>Primary Technical Focus</w:t>
            </w:r>
          </w:p>
        </w:tc>
        <w:tc>
          <w:tcPr>
            <w:tcW w:type="dxa" w:w="5616"/>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7"/>
              </w:rPr>
              <w:t>Project Integration, Experimental Orchestration &amp; Web Application Development</w:t>
            </w:r>
          </w:p>
        </w:tc>
      </w:tr>
    </w:tbl>
    <w:p>
      <w:pPr>
        <w:spacing w:after="80"/>
      </w:pPr>
    </w:p>
    <w:p>
      <w:pPr>
        <w:keepNext/>
        <w:spacing w:before="200" w:after="80"/>
        <w:jc w:val="left"/>
      </w:pPr>
      <w:r>
        <w:rPr>
          <w:rFonts w:ascii="Times New Roman" w:hAnsi="Times New Roman"/>
          <w:b/>
          <w:color w:val="1F4E79"/>
          <w:sz w:val="24"/>
        </w:rPr>
        <w:t>1. EXECUTIVE SUMMARY OF TECHNICAL ROLE</w:t>
      </w:r>
    </w:p>
    <w:p>
      <w:pPr>
        <w:spacing w:before="0" w:after="80" w:line="300" w:lineRule="auto"/>
        <w:jc w:val="both"/>
      </w:pPr>
      <w:r>
        <w:rPr>
          <w:rFonts w:ascii="Times New Roman" w:hAnsi="Times New Roman"/>
          <w:color w:val="262626"/>
          <w:sz w:val="21"/>
        </w:rPr>
        <w:t>As the Lead Integration and Application Engineer for the TRUST-X deep learning project, my core responsibilities encompassed architectural pipeline integration, end-to-end experiment orchestration across all 12 factorial language-model pairs, compute environment management, and the design and implementation of the user-facing Streamlit application. I ensured that all experimental components—from model instantiation to artifact persistence and interactive visual auditing—operated seamlessly as a unified, reproducible framework.</w:t>
      </w:r>
    </w:p>
    <w:p>
      <w:pPr>
        <w:keepNext/>
        <w:spacing w:before="200" w:after="80"/>
        <w:jc w:val="left"/>
      </w:pPr>
      <w:r>
        <w:rPr>
          <w:rFonts w:ascii="Times New Roman" w:hAnsi="Times New Roman"/>
          <w:b/>
          <w:color w:val="1F4E79"/>
          <w:sz w:val="24"/>
        </w:rPr>
        <w:t>2. SCOPE OF RESPONSIBILITIES AND MODULE OWNERSHIP</w:t>
      </w:r>
    </w:p>
    <w:p>
      <w:pPr>
        <w:spacing w:before="0" w:after="80" w:line="300" w:lineRule="auto"/>
        <w:jc w:val="both"/>
      </w:pPr>
      <w:r>
        <w:rPr>
          <w:rFonts w:ascii="Times New Roman" w:hAnsi="Times New Roman"/>
          <w:color w:val="262626"/>
          <w:sz w:val="21"/>
        </w:rPr>
        <w:t>My verified contributions centered on five key architectural domains:</w:t>
      </w:r>
    </w:p>
    <w:p>
      <w:pPr>
        <w:spacing w:before="0" w:after="80" w:line="300" w:lineRule="auto"/>
        <w:jc w:val="both"/>
      </w:pPr>
      <w:r>
        <w:rPr>
          <w:rFonts w:ascii="Times New Roman" w:hAnsi="Times New Roman"/>
          <w:color w:val="262626"/>
          <w:sz w:val="21"/>
        </w:rPr>
        <w:t>1. Pipeline Integration &amp; Execution Control: Designing the centralized project workflow, managing command-line interfaces, configuration files, and orchestrating the sequential execution of fine-tuning runs while maintaining GPU state hygiene.</w:t>
      </w:r>
    </w:p>
    <w:p>
      <w:pPr>
        <w:spacing w:before="0" w:after="80" w:line="300" w:lineRule="auto"/>
        <w:jc w:val="both"/>
      </w:pPr>
      <w:r>
        <w:rPr>
          <w:rFonts w:ascii="Times New Roman" w:hAnsi="Times New Roman"/>
          <w:color w:val="262626"/>
          <w:sz w:val="21"/>
        </w:rPr>
        <w:t>2. Training Harness Engineering: Structuring `src/training/trainer.py` and `src/models/model_factory.py`, implementing validation-loss monitoring, dynamic checkpoint saving, and class-weight regularization.</w:t>
      </w:r>
    </w:p>
    <w:p>
      <w:pPr>
        <w:spacing w:before="0" w:after="80" w:line="300" w:lineRule="auto"/>
        <w:jc w:val="both"/>
      </w:pPr>
      <w:r>
        <w:rPr>
          <w:rFonts w:ascii="Times New Roman" w:hAnsi="Times New Roman"/>
          <w:color w:val="262626"/>
          <w:sz w:val="21"/>
        </w:rPr>
        <w:t>3. Experiment Orchestration: Managing the execution of the 12 primary experiments across Telugu, Tamil, Malayalam, and Hindi on NVIDIA GPU infrastructure (Google Colab T4), enforcing seed 42 across all runs.</w:t>
      </w:r>
    </w:p>
    <w:p>
      <w:pPr>
        <w:spacing w:before="0" w:after="80" w:line="300" w:lineRule="auto"/>
        <w:jc w:val="both"/>
      </w:pPr>
      <w:r>
        <w:rPr>
          <w:rFonts w:ascii="Times New Roman" w:hAnsi="Times New Roman"/>
          <w:color w:val="262626"/>
          <w:sz w:val="21"/>
        </w:rPr>
        <w:t>4. Interactive Streamlit Web Application: Designing, implementing, and styling the multi-page Streamlit application (`app/`), integrating live model inference, dynamic probability gauges, and SHAP visual token attributions.</w:t>
      </w:r>
    </w:p>
    <w:p>
      <w:pPr>
        <w:spacing w:before="0" w:after="80" w:line="300" w:lineRule="auto"/>
        <w:jc w:val="both"/>
      </w:pPr>
      <w:r>
        <w:rPr>
          <w:rFonts w:ascii="Times New Roman" w:hAnsi="Times New Roman"/>
          <w:color w:val="262626"/>
          <w:sz w:val="21"/>
        </w:rPr>
        <w:t>5. Documentation &amp; Technical Integration: Consolidating frozen experimental tables, authoring execution scripts, and verifying data consistency across the master report.</w:t>
      </w:r>
    </w:p>
    <w:p>
      <w:pPr>
        <w:keepNext/>
        <w:spacing w:before="200" w:after="80"/>
        <w:jc w:val="left"/>
      </w:pPr>
      <w:r>
        <w:rPr>
          <w:rFonts w:ascii="Times New Roman" w:hAnsi="Times New Roman"/>
          <w:b/>
          <w:color w:val="1F4E79"/>
          <w:sz w:val="24"/>
        </w:rPr>
        <w:t>3. DETAILED TECHNICAL WORK PERFORMED</w:t>
      </w:r>
    </w:p>
    <w:p>
      <w:pPr>
        <w:keepNext/>
        <w:spacing w:before="120" w:after="40"/>
        <w:jc w:val="left"/>
      </w:pPr>
      <w:r>
        <w:rPr>
          <w:rFonts w:ascii="Times New Roman" w:hAnsi="Times New Roman"/>
          <w:b/>
          <w:i/>
          <w:color w:val="262626"/>
          <w:sz w:val="22"/>
        </w:rPr>
        <w:t>3.1 Experiment Orchestration and Hardware Management</w:t>
      </w:r>
    </w:p>
    <w:p>
      <w:pPr>
        <w:spacing w:before="0" w:after="80" w:line="300" w:lineRule="auto"/>
        <w:jc w:val="both"/>
      </w:pPr>
      <w:r>
        <w:rPr>
          <w:rFonts w:ascii="Times New Roman" w:hAnsi="Times New Roman"/>
          <w:color w:val="262626"/>
          <w:sz w:val="21"/>
        </w:rPr>
        <w:t>I authored `run_all_experiments.py` and `train.py`, which served as the operational backbone of the project. Due to GPU VRAM constraints on the Tesla T4 (16 GB), sequential execution required rigorous garbage collection and PyTorch CUDA cache clearing (`torch.cuda.empty_cache()`) between model runs. I established the standardized training hyperparameters: learning rate 2e-5 with AdamW optimizer, linear warmup over the initial 10% of training steps, weight decay of 0.01, batch size 16, and sequence truncation at 128 tokens. To address severe class imbalance without destabilizing gradients, I implemented balanced class-weight calculation via scikit-learn inside the loss function.</w:t>
      </w:r>
    </w:p>
    <w:p>
      <w:pPr>
        <w:keepNext/>
        <w:spacing w:before="120" w:after="40"/>
        <w:jc w:val="left"/>
      </w:pPr>
      <w:r>
        <w:rPr>
          <w:rFonts w:ascii="Times New Roman" w:hAnsi="Times New Roman"/>
          <w:b/>
          <w:i/>
          <w:color w:val="262626"/>
          <w:sz w:val="22"/>
        </w:rPr>
        <w:t>3.2 Interactive Web Application Architecture (`app/`)</w:t>
      </w:r>
    </w:p>
    <w:p>
      <w:pPr>
        <w:spacing w:before="0" w:after="80" w:line="300" w:lineRule="auto"/>
        <w:jc w:val="both"/>
      </w:pPr>
      <w:r>
        <w:rPr>
          <w:rFonts w:ascii="Times New Roman" w:hAnsi="Times New Roman"/>
          <w:color w:val="262626"/>
          <w:sz w:val="21"/>
        </w:rPr>
        <w:t>I developed the production-grade Streamlit application structured into modular interface views: (a) Benchmark Dashboard (`app/components/benchmark_dashboard.py`): displays frozen metrics across the 12 experiments with dynamic filtering by language and model family; (b) Multi-Model Live Detection (`app/components/live_detection.py`): executes simultaneous parallel inference across mBERT, IndicBERT, and XLM-R for arbitrary user-entered code-mixed text, displaying calibrated probability gauges, toxic thresholds, and interactive SHAP token heatmaps; (c) Comparative Model Auditing (`app/components/model_auditing.py`): visualizes spider/radar plots and latency-memory tradeoff curves; (d) TWI Sensitivity Explorer (`app/components/sensitivity_explorer.py`): provides real-time weight sliders allowing users to dynamically adjust pillar weights and immediately observe live architectural re-ranking.</w:t>
      </w:r>
    </w:p>
    <w:p>
      <w:pPr>
        <w:keepNext/>
        <w:spacing w:before="200" w:after="80"/>
        <w:jc w:val="left"/>
      </w:pPr>
      <w:r>
        <w:rPr>
          <w:rFonts w:ascii="Times New Roman" w:hAnsi="Times New Roman"/>
          <w:b/>
          <w:color w:val="1F4E79"/>
          <w:sz w:val="24"/>
        </w:rPr>
        <w:t>4. ASSOCIATED CODEBASE FILES AND ARTIFACTS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154"/>
        <w:gridCol w:w="4154"/>
      </w:tblGrid>
      <w:tr>
        <w:trPr>
          <w:tblHeader/>
          <w:cantSplit/>
        </w:trPr>
        <w:tc>
          <w:tcPr>
            <w:tcW w:type="dxa" w:w="2880"/>
            <w:shd w:fill="1F4E79"/>
            <w:tcMar>
              <w:top w:w="35" w:type="dxa"/>
              <w:bottom w:w="35" w:type="dxa"/>
              <w:left w:w="45" w:type="dxa"/>
              <w:right w:w="45" w:type="dxa"/>
            </w:tcMar>
            <w:vAlign w:val="center"/>
          </w:tcPr>
          <w:p>
            <w:pPr>
              <w:spacing w:before="0" w:after="0" w:line="240" w:lineRule="auto"/>
              <w:jc w:val="center"/>
            </w:pPr>
            <w:r>
              <w:rPr>
                <w:rFonts w:ascii="Times New Roman" w:hAnsi="Times New Roman"/>
                <w:b/>
                <w:color w:val="FFFFFF"/>
                <w:sz w:val="16"/>
              </w:rPr>
              <w:t>Source File / Directory</w:t>
            </w:r>
          </w:p>
        </w:tc>
        <w:tc>
          <w:tcPr>
            <w:tcW w:type="dxa" w:w="5328"/>
            <w:shd w:fill="1F4E79"/>
            <w:tcMar>
              <w:top w:w="35" w:type="dxa"/>
              <w:bottom w:w="35" w:type="dxa"/>
              <w:left w:w="45" w:type="dxa"/>
              <w:right w:w="45" w:type="dxa"/>
            </w:tcMar>
            <w:vAlign w:val="center"/>
          </w:tcPr>
          <w:p>
            <w:pPr>
              <w:spacing w:before="0" w:after="0" w:line="240" w:lineRule="auto"/>
              <w:jc w:val="center"/>
            </w:pPr>
            <w:r>
              <w:rPr>
                <w:rFonts w:ascii="Times New Roman" w:hAnsi="Times New Roman"/>
                <w:b/>
                <w:color w:val="FFFFFF"/>
                <w:sz w:val="16"/>
              </w:rPr>
              <w:t>Specific Engineering Contribution</w:t>
            </w:r>
          </w:p>
        </w:tc>
      </w:tr>
      <w:tr>
        <w:trPr>
          <w:cantSplit/>
        </w:trPr>
        <w:tc>
          <w:tcPr>
            <w:tcW w:type="dxa" w:w="2880"/>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train.py &amp; run_all_experiments.py</w:t>
            </w:r>
          </w:p>
        </w:tc>
        <w:tc>
          <w:tcPr>
            <w:tcW w:type="dxa" w:w="5328"/>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Lead author: command-line interface, Colab orchestrator, memory cleaning, logging.</w:t>
            </w:r>
          </w:p>
        </w:tc>
      </w:tr>
      <w:tr>
        <w:trPr>
          <w:cantSplit/>
        </w:trPr>
        <w:tc>
          <w:tcPr>
            <w:tcW w:type="dxa" w:w="2880"/>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src/models/model_factory.py</w:t>
            </w:r>
          </w:p>
        </w:tc>
        <w:tc>
          <w:tcPr>
            <w:tcW w:type="dxa" w:w="5328"/>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Model initialization factory supporting BERT, ALBERT, and RoBERTa architectures.</w:t>
            </w:r>
          </w:p>
        </w:tc>
      </w:tr>
      <w:tr>
        <w:trPr>
          <w:cantSplit/>
        </w:trPr>
        <w:tc>
          <w:tcPr>
            <w:tcW w:type="dxa" w:w="2880"/>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src/training/trainer.py</w:t>
            </w:r>
          </w:p>
        </w:tc>
        <w:tc>
          <w:tcPr>
            <w:tcW w:type="dxa" w:w="5328"/>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Custom training loop, weighted cross-entropy loss, and checkpoint saving logic.</w:t>
            </w:r>
          </w:p>
        </w:tc>
      </w:tr>
      <w:tr>
        <w:trPr>
          <w:cantSplit/>
        </w:trPr>
        <w:tc>
          <w:tcPr>
            <w:tcW w:type="dxa" w:w="2880"/>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app/main.py &amp; app/data_loader.py</w:t>
            </w:r>
          </w:p>
        </w:tc>
        <w:tc>
          <w:tcPr>
            <w:tcW w:type="dxa" w:w="5328"/>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Streamlit application entry point, multi-page routing, and cached experiment data loader.</w:t>
            </w:r>
          </w:p>
        </w:tc>
      </w:tr>
      <w:tr>
        <w:trPr>
          <w:cantSplit/>
        </w:trPr>
        <w:tc>
          <w:tcPr>
            <w:tcW w:type="dxa" w:w="2880"/>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app/components/*.py</w:t>
            </w:r>
          </w:p>
        </w:tc>
        <w:tc>
          <w:tcPr>
            <w:tcW w:type="dxa" w:w="5328"/>
            <w:shd w:fill="FFFFFF"/>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Four modular interactive dashboard panels (Benchmark, Live Detection, Radar, Sensitivity).</w:t>
            </w:r>
          </w:p>
        </w:tc>
      </w:tr>
      <w:tr>
        <w:trPr>
          <w:cantSplit/>
        </w:trPr>
        <w:tc>
          <w:tcPr>
            <w:tcW w:type="dxa" w:w="2880"/>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scripts/create_colab_notebook.py</w:t>
            </w:r>
          </w:p>
        </w:tc>
        <w:tc>
          <w:tcPr>
            <w:tcW w:type="dxa" w:w="5328"/>
            <w:shd w:fill="F2F4F7"/>
            <w:tcMar>
              <w:top w:w="25" w:type="dxa"/>
              <w:bottom w:w="25" w:type="dxa"/>
              <w:left w:w="45" w:type="dxa"/>
              <w:right w:w="45" w:type="dxa"/>
            </w:tcMar>
            <w:vAlign w:val="center"/>
          </w:tcPr>
          <w:p>
            <w:pPr>
              <w:spacing w:before="0" w:after="0" w:line="276" w:lineRule="auto"/>
              <w:jc w:val="left"/>
            </w:pPr>
            <w:r>
              <w:rPr>
                <w:rFonts w:ascii="Times New Roman" w:hAnsi="Times New Roman"/>
                <w:color w:val="262626"/>
                <w:sz w:val="16"/>
              </w:rPr>
              <w:t>Automation script generating reproducible Google Colab execution environments.</w:t>
            </w:r>
          </w:p>
        </w:tc>
      </w:tr>
    </w:tbl>
    <w:p>
      <w:pPr>
        <w:keepNext/>
        <w:spacing w:before="200" w:after="80"/>
        <w:jc w:val="left"/>
      </w:pPr>
      <w:r>
        <w:rPr>
          <w:rFonts w:ascii="Times New Roman" w:hAnsi="Times New Roman"/>
          <w:b/>
          <w:color w:val="1F4E79"/>
          <w:sz w:val="24"/>
        </w:rPr>
        <w:t>5. KEY DELIVERABLES AND OUTPUTS</w:t>
      </w:r>
    </w:p>
    <w:p>
      <w:pPr>
        <w:spacing w:before="0" w:after="80" w:line="300" w:lineRule="auto"/>
        <w:jc w:val="both"/>
      </w:pPr>
      <w:r>
        <w:rPr>
          <w:rFonts w:ascii="Times New Roman" w:hAnsi="Times New Roman"/>
          <w:color w:val="262626"/>
          <w:sz w:val="21"/>
        </w:rPr>
        <w:t>1. Twelve trained and validated transformer model checkpoints saved under `models/checkpoints/`.</w:t>
      </w:r>
    </w:p>
    <w:p>
      <w:pPr>
        <w:spacing w:before="0" w:after="80" w:line="300" w:lineRule="auto"/>
        <w:jc w:val="both"/>
      </w:pPr>
      <w:r>
        <w:rPr>
          <w:rFonts w:ascii="Times New Roman" w:hAnsi="Times New Roman"/>
          <w:color w:val="262626"/>
          <w:sz w:val="21"/>
        </w:rPr>
        <w:t>2. A fully operational, responsive Streamlit web application providing live demonstration capabilities.</w:t>
      </w:r>
    </w:p>
    <w:p>
      <w:pPr>
        <w:spacing w:before="0" w:after="80" w:line="300" w:lineRule="auto"/>
        <w:jc w:val="both"/>
      </w:pPr>
      <w:r>
        <w:rPr>
          <w:rFonts w:ascii="Times New Roman" w:hAnsi="Times New Roman"/>
          <w:color w:val="262626"/>
          <w:sz w:val="21"/>
        </w:rPr>
        <w:t>3. Standardized execution logs and tracking matrices serialized into `experiments.csv`.</w:t>
      </w:r>
    </w:p>
    <w:p>
      <w:pPr>
        <w:spacing w:before="0" w:after="80" w:line="300" w:lineRule="auto"/>
        <w:jc w:val="both"/>
      </w:pPr>
      <w:r>
        <w:rPr>
          <w:rFonts w:ascii="Times New Roman" w:hAnsi="Times New Roman"/>
          <w:color w:val="262626"/>
          <w:sz w:val="21"/>
        </w:rPr>
        <w:t>4. Automated reproduction scripts ensuring seamless re-execution in cloud GPU environments.</w:t>
      </w:r>
    </w:p>
    <w:p>
      <w:pPr>
        <w:keepNext/>
        <w:spacing w:before="200" w:after="80"/>
        <w:jc w:val="left"/>
      </w:pPr>
      <w:r>
        <w:rPr>
          <w:rFonts w:ascii="Times New Roman" w:hAnsi="Times New Roman"/>
          <w:b/>
          <w:color w:val="1F4E79"/>
          <w:sz w:val="24"/>
        </w:rPr>
        <w:t>6. COLLABORATIVE VS. INDIVIDUAL BOUNDARY STATEMENT</w:t>
      </w:r>
    </w:p>
    <w:p>
      <w:pPr>
        <w:spacing w:before="0" w:after="80" w:line="300" w:lineRule="auto"/>
        <w:jc w:val="both"/>
      </w:pPr>
      <w:r>
        <w:rPr>
          <w:rFonts w:ascii="Times New Roman" w:hAnsi="Times New Roman"/>
          <w:color w:val="262626"/>
          <w:sz w:val="21"/>
        </w:rPr>
        <w:t>While I led experimental orchestration and UI engineering, dataset preprocessing and auditing were spearheaded by Jeevan G A, and the mathematical formulation of evaluation metrics, SHAP explainability, and calibration testing were led by Shashank P. Model fine-tuning parameters and TWI weight configurations were collaboratively reviewed and agreed upon by all three team members.</w:t>
      </w:r>
    </w:p>
    <w:p>
      <w:pPr>
        <w:keepNext/>
        <w:spacing w:before="200" w:after="80"/>
        <w:jc w:val="left"/>
      </w:pPr>
      <w:r>
        <w:rPr>
          <w:rFonts w:ascii="Times New Roman" w:hAnsi="Times New Roman"/>
          <w:b/>
          <w:color w:val="1F4E79"/>
          <w:sz w:val="24"/>
        </w:rPr>
        <w:t>7. STUDENT CONFIRMATION AND VERIFICATION NOTE</w:t>
      </w:r>
    </w:p>
    <w:p>
      <w:pPr>
        <w:spacing w:before="0" w:after="80" w:line="300" w:lineRule="auto"/>
        <w:jc w:val="both"/>
      </w:pPr>
      <w:r>
        <w:rPr>
          <w:rFonts w:ascii="Times New Roman" w:hAnsi="Times New Roman"/>
          <w:color w:val="262626"/>
          <w:sz w:val="21"/>
        </w:rPr>
        <w:t>The technical responsibilities and codebase contributions documented herein accurately reflect my individual work on the TRUST-X project. I confirm that all listed software modules, experimental scripts, and application components were implemented or co-engineered by me as described.</w:t>
      </w:r>
    </w:p>
    <w:p>
      <w:pPr>
        <w:spacing w:before="320" w:line="276" w:lineRule="auto"/>
      </w:pPr>
      <w:r>
        <w:rPr>
          <w:rFonts w:ascii="Times New Roman" w:hAnsi="Times New Roman"/>
          <w:sz w:val="20"/>
        </w:rPr>
        <w:t>Candidate Signature: _______________________</w:t>
        <w:br/>
        <w:t>Shaik Mohammad Sohil (23BAI0133)</w:t>
        <w:br/>
        <w:t>Date: October 28, 2026</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