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5019B">
      <w:pPr>
        <w:spacing w:before="37" w:line="254" w:lineRule="auto"/>
        <w:ind w:left="3484" w:right="3624" w:hanging="8"/>
        <w:jc w:val="center"/>
        <w:rPr>
          <w:rFonts w:ascii="Calibri"/>
          <w:b/>
          <w:sz w:val="24"/>
        </w:rPr>
      </w:pPr>
      <w:bookmarkStart w:id="0" w:name="Project Design Phase Solution Architectu"/>
      <w:bookmarkEnd w:id="0"/>
      <w:r>
        <w:rPr>
          <w:rFonts w:ascii="Calibri"/>
          <w:b/>
          <w:sz w:val="24"/>
        </w:rPr>
        <w:t>Project Design Phase Solution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Architecture</w:t>
      </w:r>
    </w:p>
    <w:p w14:paraId="6A7484DC">
      <w:pPr>
        <w:pStyle w:val="4"/>
        <w:spacing w:before="53"/>
        <w:rPr>
          <w:rFonts w:ascii="Calibri"/>
          <w:b/>
          <w:sz w:val="20"/>
        </w:rPr>
      </w:pPr>
    </w:p>
    <w:tbl>
      <w:tblPr>
        <w:tblStyle w:val="3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7"/>
        <w:gridCol w:w="4512"/>
      </w:tblGrid>
      <w:tr w14:paraId="57A7ED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4507" w:type="dxa"/>
          </w:tcPr>
          <w:p w14:paraId="4F199680">
            <w:pPr>
              <w:pStyle w:val="7"/>
              <w:spacing w:line="25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2" w:type="dxa"/>
          </w:tcPr>
          <w:p w14:paraId="354D935E">
            <w:pPr>
              <w:pStyle w:val="7"/>
              <w:ind w:left="0" w:firstLine="110" w:firstLineChars="50"/>
              <w:rPr>
                <w:rFonts w:ascii="Times New Roman"/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04-02-2026</w:t>
            </w:r>
          </w:p>
        </w:tc>
      </w:tr>
      <w:tr w14:paraId="2596B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4507" w:type="dxa"/>
            <w:tcBorders>
              <w:bottom w:val="single" w:color="000000" w:sz="6" w:space="0"/>
            </w:tcBorders>
          </w:tcPr>
          <w:p w14:paraId="00F5095F">
            <w:pPr>
              <w:pStyle w:val="7"/>
              <w:spacing w:line="25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2" w:type="dxa"/>
            <w:tcBorders>
              <w:bottom w:val="single" w:color="000000" w:sz="6" w:space="0"/>
            </w:tcBorders>
          </w:tcPr>
          <w:p w14:paraId="70BB7F20">
            <w:pPr>
              <w:pStyle w:val="7"/>
              <w:spacing w:line="244" w:lineRule="exact"/>
              <w:ind w:left="90"/>
              <w:rPr>
                <w:sz w:val="20"/>
              </w:rPr>
            </w:pPr>
            <w:r>
              <w:rPr>
                <w:rFonts w:hint="default"/>
                <w:spacing w:val="-2"/>
                <w:sz w:val="20"/>
              </w:rPr>
              <w:t>LTVIP2026TMIDS24955</w:t>
            </w:r>
          </w:p>
        </w:tc>
      </w:tr>
      <w:tr w14:paraId="6D4FB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4507" w:type="dxa"/>
            <w:tcBorders>
              <w:top w:val="single" w:color="000000" w:sz="6" w:space="0"/>
            </w:tcBorders>
          </w:tcPr>
          <w:p w14:paraId="46212736">
            <w:pPr>
              <w:pStyle w:val="7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2" w:type="dxa"/>
            <w:tcBorders>
              <w:top w:val="single" w:color="000000" w:sz="6" w:space="0"/>
            </w:tcBorders>
          </w:tcPr>
          <w:p w14:paraId="4A2414A2">
            <w:pPr>
              <w:pStyle w:val="7"/>
              <w:ind w:left="115" w:right="70"/>
              <w:rPr>
                <w:sz w:val="22"/>
              </w:rPr>
            </w:pPr>
            <w:r>
              <w:rPr>
                <w:sz w:val="22"/>
              </w:rPr>
              <w:t>Visualizing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Housing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Market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Trends: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Analysis of Sale Prices and Features using Tableau</w:t>
            </w:r>
          </w:p>
        </w:tc>
      </w:tr>
      <w:tr w14:paraId="6DC67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4507" w:type="dxa"/>
          </w:tcPr>
          <w:p w14:paraId="76061DBE"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2" w:type="dxa"/>
          </w:tcPr>
          <w:p w14:paraId="026F0749">
            <w:pPr>
              <w:pStyle w:val="7"/>
              <w:spacing w:line="279" w:lineRule="exact"/>
              <w:ind w:left="115"/>
              <w:rPr>
                <w:sz w:val="24"/>
              </w:rPr>
            </w:pPr>
            <w:r>
              <w:rPr>
                <w:rFonts w:hint="default"/>
                <w:spacing w:val="-1"/>
                <w:sz w:val="24"/>
                <w:lang w:val="en-US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</w:tr>
    </w:tbl>
    <w:p w14:paraId="17957FB0">
      <w:pPr>
        <w:pStyle w:val="4"/>
        <w:spacing w:before="158"/>
        <w:rPr>
          <w:rFonts w:ascii="Calibri"/>
          <w:b/>
        </w:rPr>
      </w:pPr>
    </w:p>
    <w:p w14:paraId="7B6269CF">
      <w:pPr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5BE64456">
      <w:pPr>
        <w:pStyle w:val="4"/>
        <w:spacing w:before="185"/>
        <w:ind w:left="23" w:right="234"/>
        <w:jc w:val="both"/>
      </w:pPr>
      <w:r>
        <w:t>Solution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sub-processes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bridges the gap between business problems and technology solutions. Its goals are to:</w:t>
      </w:r>
    </w:p>
    <w:p w14:paraId="0C3D202E">
      <w:pPr>
        <w:pStyle w:val="4"/>
        <w:spacing w:before="96"/>
        <w:jc w:val="both"/>
      </w:pPr>
      <w:bookmarkStart w:id="2" w:name="_GoBack"/>
      <w:bookmarkEnd w:id="2"/>
    </w:p>
    <w:p w14:paraId="00B266B3">
      <w:pPr>
        <w:pStyle w:val="6"/>
        <w:numPr>
          <w:ilvl w:val="0"/>
          <w:numId w:val="1"/>
        </w:numPr>
        <w:tabs>
          <w:tab w:val="left" w:pos="719"/>
        </w:tabs>
        <w:spacing w:before="1" w:after="0" w:line="240" w:lineRule="auto"/>
        <w:ind w:left="719" w:right="321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separates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preprocessing,</w:t>
      </w:r>
      <w:r>
        <w:rPr>
          <w:spacing w:val="-11"/>
          <w:sz w:val="24"/>
        </w:rPr>
        <w:t xml:space="preserve"> </w:t>
      </w:r>
      <w:r>
        <w:rPr>
          <w:sz w:val="24"/>
        </w:rPr>
        <w:t>storage,</w:t>
      </w:r>
      <w:r>
        <w:rPr>
          <w:spacing w:val="-7"/>
          <w:sz w:val="24"/>
        </w:rPr>
        <w:t xml:space="preserve"> </w:t>
      </w:r>
      <w:r>
        <w:rPr>
          <w:sz w:val="24"/>
        </w:rPr>
        <w:t>visualization,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UI layers—making it easy to maintain, scale, and enhance.</w:t>
      </w:r>
    </w:p>
    <w:p w14:paraId="3D638E0B">
      <w:pPr>
        <w:pStyle w:val="6"/>
        <w:numPr>
          <w:ilvl w:val="0"/>
          <w:numId w:val="1"/>
        </w:numPr>
        <w:tabs>
          <w:tab w:val="left" w:pos="719"/>
        </w:tabs>
        <w:spacing w:before="3" w:after="0" w:line="240" w:lineRule="auto"/>
        <w:ind w:left="719" w:right="468" w:hanging="360"/>
        <w:jc w:val="both"/>
        <w:rPr>
          <w:sz w:val="24"/>
        </w:rPr>
      </w:pPr>
      <w:r>
        <w:rPr>
          <w:sz w:val="24"/>
        </w:rPr>
        <w:t>Cleaned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visualized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4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7"/>
          <w:sz w:val="24"/>
        </w:rPr>
        <w:t xml:space="preserve"> </w:t>
      </w:r>
      <w:r>
        <w:rPr>
          <w:sz w:val="24"/>
        </w:rPr>
        <w:t>offering region-wise, year-wise, and seasonal insights with filtering capabilities.</w:t>
      </w:r>
    </w:p>
    <w:p w14:paraId="6C12D677">
      <w:pPr>
        <w:pStyle w:val="6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594" w:hanging="360"/>
        <w:jc w:val="both"/>
        <w:rPr>
          <w:sz w:val="24"/>
        </w:rPr>
      </w:pPr>
      <w:r>
        <w:rPr>
          <w:sz w:val="24"/>
        </w:rPr>
        <w:t>Dashboards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embedded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Flask-based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interface,</w:t>
      </w:r>
      <w:r>
        <w:rPr>
          <w:spacing w:val="-7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end users to interact with visual data through a user-friendly portal.</w:t>
      </w:r>
    </w:p>
    <w:p w14:paraId="65CB947E">
      <w:pPr>
        <w:pStyle w:val="6"/>
        <w:numPr>
          <w:ilvl w:val="0"/>
          <w:numId w:val="1"/>
        </w:numPr>
        <w:tabs>
          <w:tab w:val="left" w:pos="719"/>
        </w:tabs>
        <w:spacing w:before="0" w:after="0" w:line="242" w:lineRule="auto"/>
        <w:ind w:left="719" w:right="548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z w:val="24"/>
        </w:rPr>
        <w:t>future</w:t>
      </w:r>
      <w:r>
        <w:rPr>
          <w:spacing w:val="-4"/>
          <w:sz w:val="24"/>
        </w:rPr>
        <w:t xml:space="preserve"> </w:t>
      </w:r>
      <w:r>
        <w:rPr>
          <w:sz w:val="24"/>
        </w:rPr>
        <w:t>extensions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 deployed locally or on cloud platforms like Heroku or AWS.</w:t>
      </w:r>
    </w:p>
    <w:p w14:paraId="39B5E93E">
      <w:pPr>
        <w:pStyle w:val="4"/>
      </w:pPr>
    </w:p>
    <w:p w14:paraId="2E4C6A2F">
      <w:pPr>
        <w:pStyle w:val="4"/>
        <w:spacing w:before="42"/>
      </w:pPr>
    </w:p>
    <w:p w14:paraId="57FB9100">
      <w:pPr>
        <w:spacing w:before="0"/>
        <w:ind w:left="23" w:right="0" w:firstLine="0"/>
        <w:jc w:val="left"/>
        <w:rPr>
          <w:rFonts w:ascii="Calibri"/>
          <w:b/>
          <w:sz w:val="22"/>
        </w:rPr>
      </w:pPr>
      <w:bookmarkStart w:id="1" w:name="Solution Architecture Diagram:"/>
      <w:bookmarkEnd w:id="1"/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Architecture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Diagram</w:t>
      </w:r>
      <w:r>
        <w:rPr>
          <w:rFonts w:ascii="Calibri"/>
          <w:b/>
          <w:spacing w:val="-2"/>
          <w:sz w:val="22"/>
        </w:rPr>
        <w:t>:</w:t>
      </w:r>
    </w:p>
    <w:p w14:paraId="189C5C1B">
      <w:pPr>
        <w:pStyle w:val="4"/>
        <w:rPr>
          <w:rFonts w:ascii="Calibri"/>
          <w:b/>
          <w:sz w:val="20"/>
        </w:rPr>
      </w:pPr>
    </w:p>
    <w:p w14:paraId="6AAEAB7B">
      <w:pPr>
        <w:pStyle w:val="4"/>
        <w:rPr>
          <w:rFonts w:ascii="Calibri"/>
          <w:b/>
          <w:sz w:val="20"/>
        </w:rPr>
      </w:pPr>
    </w:p>
    <w:p w14:paraId="4BE61F15">
      <w:pPr>
        <w:pStyle w:val="4"/>
        <w:rPr>
          <w:rFonts w:ascii="Calibri"/>
          <w:b/>
          <w:sz w:val="20"/>
        </w:rPr>
      </w:pPr>
    </w:p>
    <w:p w14:paraId="36F9E64D">
      <w:pPr>
        <w:pStyle w:val="4"/>
        <w:rPr>
          <w:rFonts w:ascii="Calibri"/>
          <w:b/>
          <w:sz w:val="20"/>
        </w:rPr>
      </w:pPr>
    </w:p>
    <w:p w14:paraId="2035D821">
      <w:pPr>
        <w:pStyle w:val="4"/>
        <w:rPr>
          <w:rFonts w:ascii="Calibri"/>
          <w:b/>
          <w:sz w:val="20"/>
        </w:rPr>
      </w:pPr>
    </w:p>
    <w:p w14:paraId="4DE70B33">
      <w:pPr>
        <w:pStyle w:val="4"/>
        <w:spacing w:before="71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1017905</wp:posOffset>
            </wp:positionH>
            <wp:positionV relativeFrom="paragraph">
              <wp:posOffset>215900</wp:posOffset>
            </wp:positionV>
            <wp:extent cx="5673090" cy="299148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405" cy="2991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800" w:right="1275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multilevel"/>
    <w:tmpl w:val="0248C179"/>
    <w:lvl w:ilvl="0" w:tentative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6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BFB53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719" w:right="321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2026-01-30T11:22:00Z</dcterms:created>
  <dc:creator>Amarender Katkam</dc:creator>
  <cp:lastModifiedBy>N Sohith kumar</cp:lastModifiedBy>
  <dcterms:modified xsi:type="dcterms:W3CDTF">2026-01-30T11:32:26Z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3D77550B83C54F3E882AE6745C55A392_12</vt:lpwstr>
  </property>
</Properties>
</file>