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ADCE8" w14:textId="77777777" w:rsidR="0094002B" w:rsidRPr="00B8050B" w:rsidRDefault="00CE6DFB" w:rsidP="0094002B">
      <w:pPr>
        <w:pStyle w:val="Title"/>
        <w:pBdr>
          <w:bottom w:val="single" w:sz="4" w:space="4" w:color="auto"/>
          <w:between w:val="single" w:sz="4" w:space="1" w:color="auto"/>
          <w:bar w:val="single" w:sz="4" w:color="auto"/>
        </w:pBdr>
        <w:spacing w:after="0"/>
        <w:jc w:val="center"/>
        <w:rPr>
          <w:color w:val="76923C" w:themeColor="accent3" w:themeShade="BF"/>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50B">
        <w:rPr>
          <w:color w:val="76923C" w:themeColor="accent3" w:themeShade="BF"/>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Telco Customer Churn Analysis – Executive Report</w:t>
      </w:r>
      <w:bookmarkStart w:id="0" w:name="_Toc207475334"/>
    </w:p>
    <w:p w14:paraId="1EFEA5FD" w14:textId="1A166340" w:rsidR="002E3054" w:rsidRPr="007073E8" w:rsidRDefault="002E3054" w:rsidP="002E3054">
      <w:pPr>
        <w:pStyle w:val="Heading1"/>
        <w:spacing w:before="120"/>
        <w:rPr>
          <w:color w:val="76923C" w:themeColor="accent3" w:themeShade="BF"/>
        </w:rPr>
      </w:pPr>
      <w:r w:rsidRPr="007073E8">
        <w:rPr>
          <w:color w:val="76923C" w:themeColor="accent3" w:themeShade="BF"/>
        </w:rPr>
        <w:t>Table of contents</w:t>
      </w:r>
    </w:p>
    <w:p w14:paraId="041DB867" w14:textId="7ED5DEA0" w:rsidR="0094002B" w:rsidRDefault="0094002B" w:rsidP="007073E8">
      <w:pPr>
        <w:pStyle w:val="TOC1"/>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207475839" w:history="1">
        <w:r w:rsidRPr="00642B46">
          <w:rPr>
            <w:rStyle w:val="Hyperlink"/>
            <w:noProof/>
          </w:rPr>
          <w:t>Executive Summary</w:t>
        </w:r>
        <w:r>
          <w:rPr>
            <w:noProof/>
            <w:webHidden/>
          </w:rPr>
          <w:tab/>
        </w:r>
        <w:r>
          <w:rPr>
            <w:noProof/>
            <w:webHidden/>
          </w:rPr>
          <w:fldChar w:fldCharType="begin"/>
        </w:r>
        <w:r>
          <w:rPr>
            <w:noProof/>
            <w:webHidden/>
          </w:rPr>
          <w:instrText xml:space="preserve"> PAGEREF _Toc207475839 \h </w:instrText>
        </w:r>
        <w:r>
          <w:rPr>
            <w:noProof/>
            <w:webHidden/>
          </w:rPr>
        </w:r>
        <w:r>
          <w:rPr>
            <w:noProof/>
            <w:webHidden/>
          </w:rPr>
          <w:fldChar w:fldCharType="separate"/>
        </w:r>
        <w:r w:rsidR="005B0DAD">
          <w:rPr>
            <w:noProof/>
            <w:webHidden/>
          </w:rPr>
          <w:t>1</w:t>
        </w:r>
        <w:r>
          <w:rPr>
            <w:noProof/>
            <w:webHidden/>
          </w:rPr>
          <w:fldChar w:fldCharType="end"/>
        </w:r>
      </w:hyperlink>
    </w:p>
    <w:p w14:paraId="033800D1" w14:textId="63457C58" w:rsidR="0094002B" w:rsidRDefault="0094002B" w:rsidP="007073E8">
      <w:pPr>
        <w:pStyle w:val="TOC1"/>
        <w:rPr>
          <w:rFonts w:asciiTheme="minorHAnsi" w:hAnsiTheme="minorHAnsi"/>
          <w:noProof/>
          <w:kern w:val="2"/>
          <w:sz w:val="24"/>
          <w:szCs w:val="24"/>
          <w14:ligatures w14:val="standardContextual"/>
        </w:rPr>
      </w:pPr>
      <w:hyperlink w:anchor="_Toc207475840" w:history="1">
        <w:r w:rsidRPr="00642B46">
          <w:rPr>
            <w:rStyle w:val="Hyperlink"/>
            <w:noProof/>
          </w:rPr>
          <w:t>Data &amp; Methodology</w:t>
        </w:r>
        <w:r>
          <w:rPr>
            <w:noProof/>
            <w:webHidden/>
          </w:rPr>
          <w:tab/>
        </w:r>
        <w:r>
          <w:rPr>
            <w:noProof/>
            <w:webHidden/>
          </w:rPr>
          <w:fldChar w:fldCharType="begin"/>
        </w:r>
        <w:r>
          <w:rPr>
            <w:noProof/>
            <w:webHidden/>
          </w:rPr>
          <w:instrText xml:space="preserve"> PAGEREF _Toc207475840 \h </w:instrText>
        </w:r>
        <w:r>
          <w:rPr>
            <w:noProof/>
            <w:webHidden/>
          </w:rPr>
        </w:r>
        <w:r>
          <w:rPr>
            <w:noProof/>
            <w:webHidden/>
          </w:rPr>
          <w:fldChar w:fldCharType="separate"/>
        </w:r>
        <w:r w:rsidR="005B0DAD">
          <w:rPr>
            <w:noProof/>
            <w:webHidden/>
          </w:rPr>
          <w:t>1</w:t>
        </w:r>
        <w:r>
          <w:rPr>
            <w:noProof/>
            <w:webHidden/>
          </w:rPr>
          <w:fldChar w:fldCharType="end"/>
        </w:r>
      </w:hyperlink>
    </w:p>
    <w:p w14:paraId="16840AA6" w14:textId="134AF54A" w:rsidR="0094002B" w:rsidRDefault="0094002B" w:rsidP="007073E8">
      <w:pPr>
        <w:pStyle w:val="TOC1"/>
        <w:rPr>
          <w:rFonts w:asciiTheme="minorHAnsi" w:hAnsiTheme="minorHAnsi"/>
          <w:noProof/>
          <w:kern w:val="2"/>
          <w:sz w:val="24"/>
          <w:szCs w:val="24"/>
          <w14:ligatures w14:val="standardContextual"/>
        </w:rPr>
      </w:pPr>
      <w:hyperlink w:anchor="_Toc207475841" w:history="1">
        <w:r w:rsidRPr="00642B46">
          <w:rPr>
            <w:rStyle w:val="Hyperlink"/>
            <w:noProof/>
          </w:rPr>
          <w:t>Key KPIs:</w:t>
        </w:r>
        <w:r>
          <w:rPr>
            <w:noProof/>
            <w:webHidden/>
          </w:rPr>
          <w:tab/>
        </w:r>
        <w:r>
          <w:rPr>
            <w:noProof/>
            <w:webHidden/>
          </w:rPr>
          <w:fldChar w:fldCharType="begin"/>
        </w:r>
        <w:r>
          <w:rPr>
            <w:noProof/>
            <w:webHidden/>
          </w:rPr>
          <w:instrText xml:space="preserve"> PAGEREF _Toc207475841 \h </w:instrText>
        </w:r>
        <w:r>
          <w:rPr>
            <w:noProof/>
            <w:webHidden/>
          </w:rPr>
        </w:r>
        <w:r>
          <w:rPr>
            <w:noProof/>
            <w:webHidden/>
          </w:rPr>
          <w:fldChar w:fldCharType="separate"/>
        </w:r>
        <w:r w:rsidR="005B0DAD">
          <w:rPr>
            <w:noProof/>
            <w:webHidden/>
          </w:rPr>
          <w:t>1</w:t>
        </w:r>
        <w:r>
          <w:rPr>
            <w:noProof/>
            <w:webHidden/>
          </w:rPr>
          <w:fldChar w:fldCharType="end"/>
        </w:r>
      </w:hyperlink>
    </w:p>
    <w:p w14:paraId="6299490A" w14:textId="41906471" w:rsidR="0094002B" w:rsidRDefault="0094002B" w:rsidP="007073E8">
      <w:pPr>
        <w:pStyle w:val="TOC1"/>
        <w:rPr>
          <w:rFonts w:asciiTheme="minorHAnsi" w:hAnsiTheme="minorHAnsi"/>
          <w:noProof/>
          <w:kern w:val="2"/>
          <w:sz w:val="24"/>
          <w:szCs w:val="24"/>
          <w14:ligatures w14:val="standardContextual"/>
        </w:rPr>
      </w:pPr>
      <w:hyperlink w:anchor="_Toc207475842" w:history="1">
        <w:r w:rsidRPr="00642B46">
          <w:rPr>
            <w:rStyle w:val="Hyperlink"/>
            <w:noProof/>
          </w:rPr>
          <w:t>Dashboard</w:t>
        </w:r>
        <w:r>
          <w:rPr>
            <w:noProof/>
            <w:webHidden/>
          </w:rPr>
          <w:tab/>
        </w:r>
        <w:r>
          <w:rPr>
            <w:noProof/>
            <w:webHidden/>
          </w:rPr>
          <w:fldChar w:fldCharType="begin"/>
        </w:r>
        <w:r>
          <w:rPr>
            <w:noProof/>
            <w:webHidden/>
          </w:rPr>
          <w:instrText xml:space="preserve"> PAGEREF _Toc207475842 \h </w:instrText>
        </w:r>
        <w:r>
          <w:rPr>
            <w:noProof/>
            <w:webHidden/>
          </w:rPr>
        </w:r>
        <w:r>
          <w:rPr>
            <w:noProof/>
            <w:webHidden/>
          </w:rPr>
          <w:fldChar w:fldCharType="separate"/>
        </w:r>
        <w:r w:rsidR="005B0DAD">
          <w:rPr>
            <w:noProof/>
            <w:webHidden/>
          </w:rPr>
          <w:t>1</w:t>
        </w:r>
        <w:r>
          <w:rPr>
            <w:noProof/>
            <w:webHidden/>
          </w:rPr>
          <w:fldChar w:fldCharType="end"/>
        </w:r>
      </w:hyperlink>
    </w:p>
    <w:p w14:paraId="2D93E119" w14:textId="0E7C042E" w:rsidR="0094002B" w:rsidRDefault="0094002B" w:rsidP="0094002B">
      <w:pPr>
        <w:pStyle w:val="TOC2"/>
        <w:rPr>
          <w:noProof/>
        </w:rPr>
      </w:pPr>
      <w:hyperlink w:anchor="_Toc207475843" w:history="1">
        <w:r w:rsidRPr="00642B46">
          <w:rPr>
            <w:rStyle w:val="Hyperlink"/>
            <w:noProof/>
          </w:rPr>
          <w:t>1. Customer Churn Overview Dashboard</w:t>
        </w:r>
        <w:r>
          <w:rPr>
            <w:noProof/>
            <w:webHidden/>
          </w:rPr>
          <w:tab/>
        </w:r>
        <w:r>
          <w:rPr>
            <w:noProof/>
            <w:webHidden/>
          </w:rPr>
          <w:fldChar w:fldCharType="begin"/>
        </w:r>
        <w:r>
          <w:rPr>
            <w:noProof/>
            <w:webHidden/>
          </w:rPr>
          <w:instrText xml:space="preserve"> PAGEREF _Toc207475843 \h </w:instrText>
        </w:r>
        <w:r>
          <w:rPr>
            <w:noProof/>
            <w:webHidden/>
          </w:rPr>
        </w:r>
        <w:r>
          <w:rPr>
            <w:noProof/>
            <w:webHidden/>
          </w:rPr>
          <w:fldChar w:fldCharType="separate"/>
        </w:r>
        <w:r w:rsidR="005B0DAD">
          <w:rPr>
            <w:noProof/>
            <w:webHidden/>
          </w:rPr>
          <w:t>1</w:t>
        </w:r>
        <w:r>
          <w:rPr>
            <w:noProof/>
            <w:webHidden/>
          </w:rPr>
          <w:fldChar w:fldCharType="end"/>
        </w:r>
      </w:hyperlink>
    </w:p>
    <w:p w14:paraId="1D2F351B" w14:textId="43F2E0A9" w:rsidR="0094002B" w:rsidRDefault="0094002B" w:rsidP="007073E8">
      <w:pPr>
        <w:pStyle w:val="TOC1"/>
        <w:rPr>
          <w:rFonts w:asciiTheme="minorHAnsi" w:hAnsiTheme="minorHAnsi"/>
          <w:noProof/>
          <w:kern w:val="2"/>
          <w:sz w:val="24"/>
          <w:szCs w:val="24"/>
          <w14:ligatures w14:val="standardContextual"/>
        </w:rPr>
      </w:pPr>
      <w:hyperlink w:anchor="_Toc207475844" w:history="1">
        <w:r w:rsidRPr="00642B46">
          <w:rPr>
            <w:rStyle w:val="Hyperlink"/>
            <w:noProof/>
          </w:rPr>
          <w:t>2. Demographics and Customer Churn Dashboard</w:t>
        </w:r>
        <w:r>
          <w:rPr>
            <w:noProof/>
            <w:webHidden/>
          </w:rPr>
          <w:tab/>
        </w:r>
        <w:r>
          <w:rPr>
            <w:noProof/>
            <w:webHidden/>
          </w:rPr>
          <w:fldChar w:fldCharType="begin"/>
        </w:r>
        <w:r>
          <w:rPr>
            <w:noProof/>
            <w:webHidden/>
          </w:rPr>
          <w:instrText xml:space="preserve"> PAGEREF _Toc207475844 \h </w:instrText>
        </w:r>
        <w:r>
          <w:rPr>
            <w:noProof/>
            <w:webHidden/>
          </w:rPr>
        </w:r>
        <w:r>
          <w:rPr>
            <w:noProof/>
            <w:webHidden/>
          </w:rPr>
          <w:fldChar w:fldCharType="separate"/>
        </w:r>
        <w:r w:rsidR="005B0DAD">
          <w:rPr>
            <w:noProof/>
            <w:webHidden/>
          </w:rPr>
          <w:t>2</w:t>
        </w:r>
        <w:r>
          <w:rPr>
            <w:noProof/>
            <w:webHidden/>
          </w:rPr>
          <w:fldChar w:fldCharType="end"/>
        </w:r>
      </w:hyperlink>
    </w:p>
    <w:p w14:paraId="3715090D" w14:textId="6D4C361A" w:rsidR="0094002B" w:rsidRDefault="0094002B" w:rsidP="007073E8">
      <w:pPr>
        <w:pStyle w:val="TOC1"/>
        <w:rPr>
          <w:rFonts w:asciiTheme="minorHAnsi" w:hAnsiTheme="minorHAnsi"/>
          <w:noProof/>
          <w:kern w:val="2"/>
          <w:sz w:val="24"/>
          <w:szCs w:val="24"/>
          <w14:ligatures w14:val="standardContextual"/>
        </w:rPr>
      </w:pPr>
      <w:hyperlink w:anchor="_Toc207475845" w:history="1">
        <w:r w:rsidRPr="00642B46">
          <w:rPr>
            <w:rStyle w:val="Hyperlink"/>
            <w:noProof/>
          </w:rPr>
          <w:t>3. Services &amp; Products Impact on Customer Churn Dashboard</w:t>
        </w:r>
        <w:r>
          <w:rPr>
            <w:noProof/>
            <w:webHidden/>
          </w:rPr>
          <w:tab/>
        </w:r>
        <w:r>
          <w:rPr>
            <w:noProof/>
            <w:webHidden/>
          </w:rPr>
          <w:fldChar w:fldCharType="begin"/>
        </w:r>
        <w:r>
          <w:rPr>
            <w:noProof/>
            <w:webHidden/>
          </w:rPr>
          <w:instrText xml:space="preserve"> PAGEREF _Toc207475845 \h </w:instrText>
        </w:r>
        <w:r>
          <w:rPr>
            <w:noProof/>
            <w:webHidden/>
          </w:rPr>
        </w:r>
        <w:r>
          <w:rPr>
            <w:noProof/>
            <w:webHidden/>
          </w:rPr>
          <w:fldChar w:fldCharType="separate"/>
        </w:r>
        <w:r w:rsidR="005B0DAD">
          <w:rPr>
            <w:noProof/>
            <w:webHidden/>
          </w:rPr>
          <w:t>3</w:t>
        </w:r>
        <w:r>
          <w:rPr>
            <w:noProof/>
            <w:webHidden/>
          </w:rPr>
          <w:fldChar w:fldCharType="end"/>
        </w:r>
      </w:hyperlink>
    </w:p>
    <w:p w14:paraId="3D091310" w14:textId="4F745AA4" w:rsidR="0094002B" w:rsidRDefault="0094002B" w:rsidP="007073E8">
      <w:pPr>
        <w:pStyle w:val="TOC1"/>
        <w:rPr>
          <w:rFonts w:asciiTheme="minorHAnsi" w:hAnsiTheme="minorHAnsi"/>
          <w:noProof/>
          <w:kern w:val="2"/>
          <w:sz w:val="24"/>
          <w:szCs w:val="24"/>
          <w14:ligatures w14:val="standardContextual"/>
        </w:rPr>
      </w:pPr>
      <w:hyperlink w:anchor="_Toc207475846" w:history="1">
        <w:r w:rsidRPr="00642B46">
          <w:rPr>
            <w:rStyle w:val="Hyperlink"/>
            <w:noProof/>
          </w:rPr>
          <w:t>4. Financial Impact of Customer Churn Dashboard</w:t>
        </w:r>
        <w:r>
          <w:rPr>
            <w:noProof/>
            <w:webHidden/>
          </w:rPr>
          <w:tab/>
        </w:r>
        <w:r>
          <w:rPr>
            <w:noProof/>
            <w:webHidden/>
          </w:rPr>
          <w:fldChar w:fldCharType="begin"/>
        </w:r>
        <w:r>
          <w:rPr>
            <w:noProof/>
            <w:webHidden/>
          </w:rPr>
          <w:instrText xml:space="preserve"> PAGEREF _Toc207475846 \h </w:instrText>
        </w:r>
        <w:r>
          <w:rPr>
            <w:noProof/>
            <w:webHidden/>
          </w:rPr>
        </w:r>
        <w:r>
          <w:rPr>
            <w:noProof/>
            <w:webHidden/>
          </w:rPr>
          <w:fldChar w:fldCharType="separate"/>
        </w:r>
        <w:r w:rsidR="005B0DAD">
          <w:rPr>
            <w:noProof/>
            <w:webHidden/>
          </w:rPr>
          <w:t>3</w:t>
        </w:r>
        <w:r>
          <w:rPr>
            <w:noProof/>
            <w:webHidden/>
          </w:rPr>
          <w:fldChar w:fldCharType="end"/>
        </w:r>
      </w:hyperlink>
    </w:p>
    <w:p w14:paraId="202D1066" w14:textId="736B4C27" w:rsidR="0094002B" w:rsidRDefault="0094002B" w:rsidP="007073E8">
      <w:pPr>
        <w:pStyle w:val="TOC1"/>
        <w:rPr>
          <w:rFonts w:asciiTheme="minorHAnsi" w:hAnsiTheme="minorHAnsi"/>
          <w:noProof/>
          <w:kern w:val="2"/>
          <w:sz w:val="24"/>
          <w:szCs w:val="24"/>
          <w14:ligatures w14:val="standardContextual"/>
        </w:rPr>
      </w:pPr>
      <w:hyperlink w:anchor="_Toc207475847" w:history="1">
        <w:r w:rsidRPr="00642B46">
          <w:rPr>
            <w:rStyle w:val="Hyperlink"/>
            <w:noProof/>
          </w:rPr>
          <w:t>Recommendations</w:t>
        </w:r>
        <w:r>
          <w:rPr>
            <w:noProof/>
            <w:webHidden/>
          </w:rPr>
          <w:tab/>
        </w:r>
        <w:r>
          <w:rPr>
            <w:noProof/>
            <w:webHidden/>
          </w:rPr>
          <w:fldChar w:fldCharType="begin"/>
        </w:r>
        <w:r>
          <w:rPr>
            <w:noProof/>
            <w:webHidden/>
          </w:rPr>
          <w:instrText xml:space="preserve"> PAGEREF _Toc207475847 \h </w:instrText>
        </w:r>
        <w:r>
          <w:rPr>
            <w:noProof/>
            <w:webHidden/>
          </w:rPr>
        </w:r>
        <w:r>
          <w:rPr>
            <w:noProof/>
            <w:webHidden/>
          </w:rPr>
          <w:fldChar w:fldCharType="separate"/>
        </w:r>
        <w:r w:rsidR="005B0DAD">
          <w:rPr>
            <w:noProof/>
            <w:webHidden/>
          </w:rPr>
          <w:t>4</w:t>
        </w:r>
        <w:r>
          <w:rPr>
            <w:noProof/>
            <w:webHidden/>
          </w:rPr>
          <w:fldChar w:fldCharType="end"/>
        </w:r>
      </w:hyperlink>
    </w:p>
    <w:p w14:paraId="78DB49EA" w14:textId="12FFAEFC" w:rsidR="0094002B" w:rsidRPr="007073E8" w:rsidRDefault="0094002B" w:rsidP="005B0DAD">
      <w:pPr>
        <w:pStyle w:val="Heading1"/>
        <w:tabs>
          <w:tab w:val="left" w:pos="2808"/>
        </w:tabs>
        <w:spacing w:before="240"/>
        <w:rPr>
          <w:color w:val="76923C" w:themeColor="accent3" w:themeShade="BF"/>
        </w:rPr>
      </w:pPr>
      <w:r>
        <w:rPr>
          <w:color w:val="auto"/>
        </w:rPr>
        <w:fldChar w:fldCharType="end"/>
      </w:r>
      <w:bookmarkStart w:id="1" w:name="_Toc207475839"/>
      <w:r w:rsidRPr="007073E8">
        <w:rPr>
          <w:color w:val="76923C" w:themeColor="accent3" w:themeShade="BF"/>
        </w:rPr>
        <w:t>Executive Summary</w:t>
      </w:r>
      <w:bookmarkEnd w:id="0"/>
      <w:bookmarkEnd w:id="1"/>
      <w:r w:rsidR="005B0DAD">
        <w:rPr>
          <w:color w:val="76923C" w:themeColor="accent3" w:themeShade="BF"/>
        </w:rPr>
        <w:tab/>
      </w:r>
    </w:p>
    <w:p w14:paraId="5390572A" w14:textId="5632E07F" w:rsidR="00CB35A8" w:rsidRDefault="00CE6DFB" w:rsidP="001118A9">
      <w:pPr>
        <w:spacing w:after="0"/>
        <w:jc w:val="both"/>
      </w:pPr>
      <w:r>
        <w:t>This report presents the results of customer churn analysis performed on the Kaggle Telco Customer Churn dataset. The dataset was cleaned and processed in Python before creating dashboards in Tableau. The report provides a comprehensive explanation of each dashboard and highlights the major findings that business leaders can act upon.</w:t>
      </w:r>
    </w:p>
    <w:p w14:paraId="00EF289F" w14:textId="77777777" w:rsidR="005304CA" w:rsidRPr="007073E8" w:rsidRDefault="005304CA" w:rsidP="00CE6DFB">
      <w:pPr>
        <w:pStyle w:val="Heading1"/>
        <w:spacing w:before="240"/>
        <w:rPr>
          <w:color w:val="76923C" w:themeColor="accent3" w:themeShade="BF"/>
        </w:rPr>
      </w:pPr>
      <w:bookmarkStart w:id="2" w:name="_Toc207475335"/>
      <w:bookmarkStart w:id="3" w:name="_Toc207475840"/>
      <w:r w:rsidRPr="007073E8">
        <w:rPr>
          <w:color w:val="76923C" w:themeColor="accent3" w:themeShade="BF"/>
        </w:rPr>
        <w:t>Data &amp; Methodology</w:t>
      </w:r>
      <w:bookmarkEnd w:id="2"/>
      <w:bookmarkEnd w:id="3"/>
    </w:p>
    <w:p w14:paraId="61F14BA0" w14:textId="25297FB4" w:rsidR="005304CA" w:rsidRDefault="005304CA" w:rsidP="005304CA">
      <w:pPr>
        <w:spacing w:after="120"/>
      </w:pPr>
      <w:r>
        <w:t>Dataset: Telco Customer Churn (Kaggle). The provided cleaned CSV was analyzed in Python (pandas). We standardized column names, coerced numeric fields (</w:t>
      </w:r>
      <w:proofErr w:type="spellStart"/>
      <w:r>
        <w:t>MonthlyCharges</w:t>
      </w:r>
      <w:proofErr w:type="spellEnd"/>
      <w:r>
        <w:t xml:space="preserve">, </w:t>
      </w:r>
      <w:proofErr w:type="spellStart"/>
      <w:r>
        <w:t>TotalCharges</w:t>
      </w:r>
      <w:proofErr w:type="spellEnd"/>
      <w:r>
        <w:t>, Tenure), and created a binary churn flag (Yes/No → 1/0).</w:t>
      </w:r>
    </w:p>
    <w:p w14:paraId="636CB5D4" w14:textId="66B8FDE6" w:rsidR="00CB35A8" w:rsidRPr="007073E8" w:rsidRDefault="00CE6DFB" w:rsidP="001118A9">
      <w:pPr>
        <w:pStyle w:val="Heading1"/>
        <w:spacing w:before="240" w:after="120"/>
        <w:rPr>
          <w:color w:val="76923C" w:themeColor="accent3" w:themeShade="BF"/>
        </w:rPr>
      </w:pPr>
      <w:bookmarkStart w:id="4" w:name="_Toc207475336"/>
      <w:bookmarkStart w:id="5" w:name="_Toc207475841"/>
      <w:r w:rsidRPr="007073E8">
        <w:rPr>
          <w:color w:val="76923C" w:themeColor="accent3" w:themeShade="BF"/>
        </w:rPr>
        <w:t>Key KPIs</w:t>
      </w:r>
      <w:r w:rsidR="007754C2" w:rsidRPr="007073E8">
        <w:rPr>
          <w:color w:val="76923C" w:themeColor="accent3" w:themeShade="BF"/>
        </w:rPr>
        <w:t>:</w:t>
      </w:r>
      <w:bookmarkEnd w:id="4"/>
      <w:bookmarkEnd w:id="5"/>
    </w:p>
    <w:tbl>
      <w:tblPr>
        <w:tblStyle w:val="LightShading"/>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4"/>
        <w:gridCol w:w="4854"/>
      </w:tblGrid>
      <w:tr w:rsidR="007754C2" w14:paraId="717E2555" w14:textId="77777777" w:rsidTr="007754C2">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4854" w:type="dxa"/>
            <w:tcBorders>
              <w:top w:val="none" w:sz="0" w:space="0" w:color="auto"/>
              <w:left w:val="none" w:sz="0" w:space="0" w:color="auto"/>
              <w:bottom w:val="none" w:sz="0" w:space="0" w:color="auto"/>
              <w:right w:val="none" w:sz="0" w:space="0" w:color="auto"/>
            </w:tcBorders>
          </w:tcPr>
          <w:p w14:paraId="7D8846A4" w14:textId="77777777" w:rsidR="007754C2" w:rsidRDefault="007754C2" w:rsidP="007754C2">
            <w:pPr>
              <w:jc w:val="center"/>
            </w:pPr>
            <w:r>
              <w:t>Metric</w:t>
            </w:r>
          </w:p>
        </w:tc>
        <w:tc>
          <w:tcPr>
            <w:tcW w:w="4854" w:type="dxa"/>
            <w:tcBorders>
              <w:top w:val="none" w:sz="0" w:space="0" w:color="auto"/>
              <w:left w:val="none" w:sz="0" w:space="0" w:color="auto"/>
              <w:bottom w:val="none" w:sz="0" w:space="0" w:color="auto"/>
              <w:right w:val="none" w:sz="0" w:space="0" w:color="auto"/>
            </w:tcBorders>
          </w:tcPr>
          <w:p w14:paraId="700B02FA" w14:textId="77777777" w:rsidR="007754C2" w:rsidRDefault="007754C2" w:rsidP="007754C2">
            <w:pPr>
              <w:jc w:val="center"/>
              <w:cnfStyle w:val="100000000000" w:firstRow="1" w:lastRow="0" w:firstColumn="0" w:lastColumn="0" w:oddVBand="0" w:evenVBand="0" w:oddHBand="0" w:evenHBand="0" w:firstRowFirstColumn="0" w:firstRowLastColumn="0" w:lastRowFirstColumn="0" w:lastRowLastColumn="0"/>
            </w:pPr>
            <w:r>
              <w:t>Value</w:t>
            </w:r>
          </w:p>
        </w:tc>
      </w:tr>
      <w:tr w:rsidR="007754C2" w14:paraId="3FAB4AD9" w14:textId="77777777" w:rsidTr="007754C2">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4854" w:type="dxa"/>
            <w:tcBorders>
              <w:left w:val="none" w:sz="0" w:space="0" w:color="auto"/>
              <w:right w:val="none" w:sz="0" w:space="0" w:color="auto"/>
            </w:tcBorders>
          </w:tcPr>
          <w:p w14:paraId="0F6B191B" w14:textId="77777777" w:rsidR="007754C2" w:rsidRDefault="007754C2" w:rsidP="007754C2">
            <w:pPr>
              <w:jc w:val="center"/>
            </w:pPr>
            <w:r>
              <w:t>Total Customers</w:t>
            </w:r>
          </w:p>
        </w:tc>
        <w:tc>
          <w:tcPr>
            <w:tcW w:w="4854" w:type="dxa"/>
            <w:tcBorders>
              <w:left w:val="none" w:sz="0" w:space="0" w:color="auto"/>
              <w:right w:val="none" w:sz="0" w:space="0" w:color="auto"/>
            </w:tcBorders>
          </w:tcPr>
          <w:p w14:paraId="1AAED197" w14:textId="77777777" w:rsidR="007754C2" w:rsidRDefault="007754C2" w:rsidP="007754C2">
            <w:pPr>
              <w:jc w:val="center"/>
              <w:cnfStyle w:val="000000100000" w:firstRow="0" w:lastRow="0" w:firstColumn="0" w:lastColumn="0" w:oddVBand="0" w:evenVBand="0" w:oddHBand="1" w:evenHBand="0" w:firstRowFirstColumn="0" w:firstRowLastColumn="0" w:lastRowFirstColumn="0" w:lastRowLastColumn="0"/>
            </w:pPr>
            <w:r>
              <w:t>7,043</w:t>
            </w:r>
          </w:p>
        </w:tc>
      </w:tr>
      <w:tr w:rsidR="007754C2" w14:paraId="577AB403" w14:textId="77777777" w:rsidTr="007754C2">
        <w:trPr>
          <w:trHeight w:val="261"/>
          <w:jc w:val="center"/>
        </w:trPr>
        <w:tc>
          <w:tcPr>
            <w:cnfStyle w:val="001000000000" w:firstRow="0" w:lastRow="0" w:firstColumn="1" w:lastColumn="0" w:oddVBand="0" w:evenVBand="0" w:oddHBand="0" w:evenHBand="0" w:firstRowFirstColumn="0" w:firstRowLastColumn="0" w:lastRowFirstColumn="0" w:lastRowLastColumn="0"/>
            <w:tcW w:w="4854" w:type="dxa"/>
          </w:tcPr>
          <w:p w14:paraId="29633B21" w14:textId="77777777" w:rsidR="007754C2" w:rsidRDefault="007754C2" w:rsidP="007754C2">
            <w:pPr>
              <w:jc w:val="center"/>
            </w:pPr>
            <w:r>
              <w:t>Churn Rate</w:t>
            </w:r>
          </w:p>
        </w:tc>
        <w:tc>
          <w:tcPr>
            <w:tcW w:w="4854" w:type="dxa"/>
          </w:tcPr>
          <w:p w14:paraId="5EE021BA" w14:textId="77777777" w:rsidR="007754C2" w:rsidRDefault="007754C2" w:rsidP="007754C2">
            <w:pPr>
              <w:jc w:val="center"/>
              <w:cnfStyle w:val="000000000000" w:firstRow="0" w:lastRow="0" w:firstColumn="0" w:lastColumn="0" w:oddVBand="0" w:evenVBand="0" w:oddHBand="0" w:evenHBand="0" w:firstRowFirstColumn="0" w:firstRowLastColumn="0" w:lastRowFirstColumn="0" w:lastRowLastColumn="0"/>
            </w:pPr>
            <w:r>
              <w:t>26.5%</w:t>
            </w:r>
          </w:p>
        </w:tc>
      </w:tr>
      <w:tr w:rsidR="007754C2" w14:paraId="4515CD2A" w14:textId="77777777" w:rsidTr="007754C2">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4854" w:type="dxa"/>
            <w:tcBorders>
              <w:left w:val="none" w:sz="0" w:space="0" w:color="auto"/>
              <w:right w:val="none" w:sz="0" w:space="0" w:color="auto"/>
            </w:tcBorders>
          </w:tcPr>
          <w:p w14:paraId="1958AFF5" w14:textId="77777777" w:rsidR="007754C2" w:rsidRDefault="007754C2" w:rsidP="007754C2">
            <w:pPr>
              <w:jc w:val="center"/>
            </w:pPr>
            <w:r>
              <w:t>Average Tenure (months)</w:t>
            </w:r>
          </w:p>
        </w:tc>
        <w:tc>
          <w:tcPr>
            <w:tcW w:w="4854" w:type="dxa"/>
            <w:tcBorders>
              <w:left w:val="none" w:sz="0" w:space="0" w:color="auto"/>
              <w:right w:val="none" w:sz="0" w:space="0" w:color="auto"/>
            </w:tcBorders>
          </w:tcPr>
          <w:p w14:paraId="7A630DD0" w14:textId="77777777" w:rsidR="007754C2" w:rsidRDefault="007754C2" w:rsidP="007754C2">
            <w:pPr>
              <w:jc w:val="center"/>
              <w:cnfStyle w:val="000000100000" w:firstRow="0" w:lastRow="0" w:firstColumn="0" w:lastColumn="0" w:oddVBand="0" w:evenVBand="0" w:oddHBand="1" w:evenHBand="0" w:firstRowFirstColumn="0" w:firstRowLastColumn="0" w:lastRowFirstColumn="0" w:lastRowLastColumn="0"/>
            </w:pPr>
            <w:r>
              <w:t>32</w:t>
            </w:r>
          </w:p>
        </w:tc>
      </w:tr>
      <w:tr w:rsidR="007754C2" w14:paraId="78F923B4" w14:textId="77777777" w:rsidTr="007754C2">
        <w:trPr>
          <w:trHeight w:val="261"/>
          <w:jc w:val="center"/>
        </w:trPr>
        <w:tc>
          <w:tcPr>
            <w:cnfStyle w:val="001000000000" w:firstRow="0" w:lastRow="0" w:firstColumn="1" w:lastColumn="0" w:oddVBand="0" w:evenVBand="0" w:oddHBand="0" w:evenHBand="0" w:firstRowFirstColumn="0" w:firstRowLastColumn="0" w:lastRowFirstColumn="0" w:lastRowLastColumn="0"/>
            <w:tcW w:w="4854" w:type="dxa"/>
          </w:tcPr>
          <w:p w14:paraId="706C8D9C" w14:textId="77777777" w:rsidR="007754C2" w:rsidRDefault="007754C2" w:rsidP="007754C2">
            <w:pPr>
              <w:jc w:val="center"/>
            </w:pPr>
            <w:r>
              <w:t>Average Monthly Charges – Churned</w:t>
            </w:r>
          </w:p>
        </w:tc>
        <w:tc>
          <w:tcPr>
            <w:tcW w:w="4854" w:type="dxa"/>
          </w:tcPr>
          <w:p w14:paraId="0F819335" w14:textId="77777777" w:rsidR="007754C2" w:rsidRDefault="007754C2" w:rsidP="007754C2">
            <w:pPr>
              <w:jc w:val="center"/>
              <w:cnfStyle w:val="000000000000" w:firstRow="0" w:lastRow="0" w:firstColumn="0" w:lastColumn="0" w:oddVBand="0" w:evenVBand="0" w:oddHBand="0" w:evenHBand="0" w:firstRowFirstColumn="0" w:firstRowLastColumn="0" w:lastRowFirstColumn="0" w:lastRowLastColumn="0"/>
            </w:pPr>
            <w:r>
              <w:t>$74</w:t>
            </w:r>
          </w:p>
        </w:tc>
      </w:tr>
      <w:tr w:rsidR="007754C2" w14:paraId="52BF8EE1" w14:textId="77777777" w:rsidTr="007754C2">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4854" w:type="dxa"/>
            <w:tcBorders>
              <w:left w:val="none" w:sz="0" w:space="0" w:color="auto"/>
              <w:right w:val="none" w:sz="0" w:space="0" w:color="auto"/>
            </w:tcBorders>
          </w:tcPr>
          <w:p w14:paraId="08DBAD3A" w14:textId="77777777" w:rsidR="007754C2" w:rsidRDefault="007754C2" w:rsidP="007754C2">
            <w:pPr>
              <w:jc w:val="center"/>
            </w:pPr>
            <w:r>
              <w:t>Average Monthly Charges – Retained</w:t>
            </w:r>
          </w:p>
        </w:tc>
        <w:tc>
          <w:tcPr>
            <w:tcW w:w="4854" w:type="dxa"/>
            <w:tcBorders>
              <w:left w:val="none" w:sz="0" w:space="0" w:color="auto"/>
              <w:right w:val="none" w:sz="0" w:space="0" w:color="auto"/>
            </w:tcBorders>
          </w:tcPr>
          <w:p w14:paraId="6E912EDC" w14:textId="77777777" w:rsidR="007754C2" w:rsidRDefault="007754C2" w:rsidP="007754C2">
            <w:pPr>
              <w:jc w:val="center"/>
              <w:cnfStyle w:val="000000100000" w:firstRow="0" w:lastRow="0" w:firstColumn="0" w:lastColumn="0" w:oddVBand="0" w:evenVBand="0" w:oddHBand="1" w:evenHBand="0" w:firstRowFirstColumn="0" w:firstRowLastColumn="0" w:lastRowFirstColumn="0" w:lastRowLastColumn="0"/>
            </w:pPr>
            <w:r>
              <w:t>$61</w:t>
            </w:r>
          </w:p>
        </w:tc>
      </w:tr>
      <w:tr w:rsidR="007754C2" w14:paraId="3592D174" w14:textId="77777777" w:rsidTr="007754C2">
        <w:trPr>
          <w:trHeight w:val="261"/>
          <w:jc w:val="center"/>
        </w:trPr>
        <w:tc>
          <w:tcPr>
            <w:cnfStyle w:val="001000000000" w:firstRow="0" w:lastRow="0" w:firstColumn="1" w:lastColumn="0" w:oddVBand="0" w:evenVBand="0" w:oddHBand="0" w:evenHBand="0" w:firstRowFirstColumn="0" w:firstRowLastColumn="0" w:lastRowFirstColumn="0" w:lastRowLastColumn="0"/>
            <w:tcW w:w="4854" w:type="dxa"/>
          </w:tcPr>
          <w:p w14:paraId="19D92961" w14:textId="77777777" w:rsidR="007754C2" w:rsidRDefault="007754C2" w:rsidP="007754C2">
            <w:pPr>
              <w:jc w:val="center"/>
            </w:pPr>
            <w:r>
              <w:t>Monthly Revenue Lost (churned)</w:t>
            </w:r>
          </w:p>
        </w:tc>
        <w:tc>
          <w:tcPr>
            <w:tcW w:w="4854" w:type="dxa"/>
          </w:tcPr>
          <w:p w14:paraId="3B152756" w14:textId="77777777" w:rsidR="007754C2" w:rsidRDefault="007754C2" w:rsidP="007754C2">
            <w:pPr>
              <w:jc w:val="center"/>
              <w:cnfStyle w:val="000000000000" w:firstRow="0" w:lastRow="0" w:firstColumn="0" w:lastColumn="0" w:oddVBand="0" w:evenVBand="0" w:oddHBand="0" w:evenHBand="0" w:firstRowFirstColumn="0" w:firstRowLastColumn="0" w:lastRowFirstColumn="0" w:lastRowLastColumn="0"/>
            </w:pPr>
            <w:r>
              <w:t>$139,131</w:t>
            </w:r>
          </w:p>
        </w:tc>
      </w:tr>
      <w:tr w:rsidR="007754C2" w14:paraId="08A48EC7" w14:textId="77777777" w:rsidTr="007754C2">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4854" w:type="dxa"/>
            <w:tcBorders>
              <w:left w:val="none" w:sz="0" w:space="0" w:color="auto"/>
              <w:right w:val="none" w:sz="0" w:space="0" w:color="auto"/>
            </w:tcBorders>
          </w:tcPr>
          <w:p w14:paraId="5C7A265B" w14:textId="77777777" w:rsidR="007754C2" w:rsidRDefault="007754C2" w:rsidP="007754C2">
            <w:pPr>
              <w:jc w:val="center"/>
            </w:pPr>
            <w:r>
              <w:t>% Revenue Lost</w:t>
            </w:r>
          </w:p>
        </w:tc>
        <w:tc>
          <w:tcPr>
            <w:tcW w:w="4854" w:type="dxa"/>
            <w:tcBorders>
              <w:left w:val="none" w:sz="0" w:space="0" w:color="auto"/>
              <w:right w:val="none" w:sz="0" w:space="0" w:color="auto"/>
            </w:tcBorders>
          </w:tcPr>
          <w:p w14:paraId="551E5B62" w14:textId="77777777" w:rsidR="007754C2" w:rsidRDefault="007754C2" w:rsidP="007754C2">
            <w:pPr>
              <w:jc w:val="center"/>
              <w:cnfStyle w:val="000000100000" w:firstRow="0" w:lastRow="0" w:firstColumn="0" w:lastColumn="0" w:oddVBand="0" w:evenVBand="0" w:oddHBand="1" w:evenHBand="0" w:firstRowFirstColumn="0" w:firstRowLastColumn="0" w:lastRowFirstColumn="0" w:lastRowLastColumn="0"/>
            </w:pPr>
            <w:r>
              <w:t>30.5%</w:t>
            </w:r>
          </w:p>
        </w:tc>
      </w:tr>
    </w:tbl>
    <w:p w14:paraId="598B0B44" w14:textId="754E5F5A" w:rsidR="0094002B" w:rsidRPr="007073E8" w:rsidRDefault="0094002B" w:rsidP="001118A9">
      <w:pPr>
        <w:pStyle w:val="Heading1"/>
        <w:spacing w:before="240"/>
        <w:rPr>
          <w:color w:val="76923C" w:themeColor="accent3" w:themeShade="BF"/>
          <w:sz w:val="32"/>
          <w:szCs w:val="32"/>
        </w:rPr>
      </w:pPr>
      <w:bookmarkStart w:id="6" w:name="_Toc207475842"/>
      <w:bookmarkStart w:id="7" w:name="_Toc207475337"/>
      <w:r w:rsidRPr="007073E8">
        <w:rPr>
          <w:color w:val="76923C" w:themeColor="accent3" w:themeShade="BF"/>
          <w:sz w:val="32"/>
          <w:szCs w:val="32"/>
        </w:rPr>
        <w:t>Dashboard</w:t>
      </w:r>
      <w:bookmarkEnd w:id="6"/>
    </w:p>
    <w:p w14:paraId="07719929" w14:textId="5B940B86" w:rsidR="00CB35A8" w:rsidRPr="007073E8" w:rsidRDefault="00CE6DFB" w:rsidP="0094002B">
      <w:pPr>
        <w:pStyle w:val="Heading2"/>
        <w:rPr>
          <w:color w:val="943634" w:themeColor="accent2" w:themeShade="BF"/>
        </w:rPr>
      </w:pPr>
      <w:bookmarkStart w:id="8" w:name="_Toc207475843"/>
      <w:r w:rsidRPr="007073E8">
        <w:rPr>
          <w:color w:val="943634" w:themeColor="accent2" w:themeShade="BF"/>
        </w:rPr>
        <w:t>1. Customer Churn Overview Dashboard</w:t>
      </w:r>
      <w:bookmarkEnd w:id="7"/>
      <w:bookmarkEnd w:id="8"/>
    </w:p>
    <w:p w14:paraId="488832A4" w14:textId="77777777" w:rsidR="007754C2" w:rsidRDefault="00CE6DFB" w:rsidP="00CE6DFB">
      <w:pPr>
        <w:spacing w:before="120" w:after="120"/>
      </w:pPr>
      <w:r>
        <w:t xml:space="preserve">This dashboard provides an executive-level summary of customer churn. It presents three key KPIs at the top: total customers, churn rate, and average tenure. These metrics set the overall context of the churn problem. </w:t>
      </w:r>
    </w:p>
    <w:p w14:paraId="5FCADDBD" w14:textId="77777777" w:rsidR="007754C2" w:rsidRDefault="00CE6DFB" w:rsidP="00CE6DFB">
      <w:pPr>
        <w:spacing w:before="120" w:after="120"/>
      </w:pPr>
      <w:r>
        <w:t xml:space="preserve">The 'Churn by Contract' chart reveals that churn is heavily concentrated among customers with month-to-month contracts, while churn rates are much lower among those on one- and two-year contracts. </w:t>
      </w:r>
    </w:p>
    <w:p w14:paraId="5EB4AD81" w14:textId="77777777" w:rsidR="007754C2" w:rsidRDefault="00CE6DFB" w:rsidP="00CE6DFB">
      <w:pPr>
        <w:spacing w:before="120" w:after="120"/>
      </w:pPr>
      <w:r>
        <w:t>The 'Charges vs Churn' chart compares the average monthly charges of churned vs non-churned customers. Churned customers pay significantly more on average ($74) compared to those who stayed ($61), indicating price sensitivity.</w:t>
      </w:r>
    </w:p>
    <w:p w14:paraId="2C0D79CF" w14:textId="0DCF246A" w:rsidR="00CB35A8" w:rsidRDefault="00CE6DFB" w:rsidP="00CE6DFB">
      <w:pPr>
        <w:spacing w:before="120" w:after="120"/>
      </w:pPr>
      <w:r>
        <w:t>The 'Churn by Tenure' line chart highlights that most churn occurs in the first 6–12 months of customer tenure. Retention improves substantially as tenure increases, reinforcing the importance of early customer engagement.</w:t>
      </w:r>
    </w:p>
    <w:p w14:paraId="111E8099" w14:textId="373F03C7" w:rsidR="007754C2" w:rsidRDefault="007754C2" w:rsidP="007754C2">
      <w:pPr>
        <w:spacing w:before="360" w:after="0"/>
      </w:pPr>
      <w:r>
        <w:rPr>
          <w:noProof/>
        </w:rPr>
        <w:lastRenderedPageBreak/>
        <w:drawing>
          <wp:inline distT="0" distB="0" distL="0" distR="0" wp14:anchorId="0780ABE8" wp14:editId="3839A30E">
            <wp:extent cx="6647815" cy="4000500"/>
            <wp:effectExtent l="0" t="0" r="635" b="0"/>
            <wp:docPr id="48035404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4047" name="Picture 1" descr="A screenshot of a graph&#10;&#10;AI-generated content may be incorrect."/>
                    <pic:cNvPicPr/>
                  </pic:nvPicPr>
                  <pic:blipFill>
                    <a:blip r:embed="rId6"/>
                    <a:stretch>
                      <a:fillRect/>
                    </a:stretch>
                  </pic:blipFill>
                  <pic:spPr>
                    <a:xfrm>
                      <a:off x="0" y="0"/>
                      <a:ext cx="6647815" cy="4000500"/>
                    </a:xfrm>
                    <a:prstGeom prst="rect">
                      <a:avLst/>
                    </a:prstGeom>
                  </pic:spPr>
                </pic:pic>
              </a:graphicData>
            </a:graphic>
          </wp:inline>
        </w:drawing>
      </w:r>
    </w:p>
    <w:p w14:paraId="1C06D1B8" w14:textId="77777777" w:rsidR="00CB35A8" w:rsidRPr="007073E8" w:rsidRDefault="00CE6DFB" w:rsidP="0094002B">
      <w:pPr>
        <w:pStyle w:val="Heading1"/>
        <w:spacing w:before="120" w:after="120"/>
        <w:rPr>
          <w:color w:val="943634" w:themeColor="accent2" w:themeShade="BF"/>
        </w:rPr>
      </w:pPr>
      <w:bookmarkStart w:id="9" w:name="_Toc207475338"/>
      <w:bookmarkStart w:id="10" w:name="_Toc207475844"/>
      <w:r w:rsidRPr="007073E8">
        <w:rPr>
          <w:color w:val="943634" w:themeColor="accent2" w:themeShade="BF"/>
        </w:rPr>
        <w:t>2. Demographics and Customer Churn Dashboard</w:t>
      </w:r>
      <w:bookmarkEnd w:id="9"/>
      <w:bookmarkEnd w:id="10"/>
    </w:p>
    <w:p w14:paraId="1CC8FE42" w14:textId="77777777" w:rsidR="007754C2" w:rsidRDefault="00CE6DFB" w:rsidP="00CE6DFB">
      <w:pPr>
        <w:spacing w:before="120" w:after="120"/>
      </w:pPr>
      <w:r>
        <w:t xml:space="preserve">This dashboard explores whether demographic factors are correlated with churn. </w:t>
      </w:r>
    </w:p>
    <w:p w14:paraId="49275D0A" w14:textId="77777777" w:rsidR="007754C2" w:rsidRDefault="00CE6DFB" w:rsidP="00CE6DFB">
      <w:pPr>
        <w:spacing w:before="120" w:after="120"/>
      </w:pPr>
      <w:r>
        <w:t xml:space="preserve">The 'Churn by Gender' chart shows no significant difference between male and female customers. </w:t>
      </w:r>
    </w:p>
    <w:p w14:paraId="34B20F9D" w14:textId="77777777" w:rsidR="007754C2" w:rsidRDefault="00CE6DFB" w:rsidP="00CE6DFB">
      <w:pPr>
        <w:spacing w:before="120" w:after="120"/>
      </w:pPr>
      <w:r>
        <w:t xml:space="preserve">The 'Churn by Senior Citizen' chart indicates that senior citizens are more likely to churn than non-seniors. This may reflect different levels of service adoption or sensitivity to costs. </w:t>
      </w:r>
    </w:p>
    <w:p w14:paraId="4CA83950" w14:textId="5A7E272F" w:rsidR="00CB35A8" w:rsidRDefault="00CE6DFB" w:rsidP="00CE6DFB">
      <w:pPr>
        <w:spacing w:before="120" w:after="120"/>
      </w:pPr>
      <w:r>
        <w:t>The 'Churn by Family Status' chart (single, with partner, with dependents) demonstrates that customers with partners and dependents are less likely to churn, possibly due to bundled family service needs. In contrast, single customers show a much higher churn rate.</w:t>
      </w:r>
    </w:p>
    <w:p w14:paraId="63DF2609" w14:textId="11D71544" w:rsidR="007754C2" w:rsidRDefault="007754C2" w:rsidP="007754C2">
      <w:pPr>
        <w:spacing w:before="360" w:after="0"/>
      </w:pPr>
      <w:r>
        <w:rPr>
          <w:noProof/>
        </w:rPr>
        <w:drawing>
          <wp:inline distT="0" distB="0" distL="0" distR="0" wp14:anchorId="03577D05" wp14:editId="21EFE640">
            <wp:extent cx="6647815" cy="3573780"/>
            <wp:effectExtent l="0" t="0" r="635" b="7620"/>
            <wp:docPr id="565500767"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0767" name="Picture 2" descr="A screenshot of a graph&#10;&#10;AI-generated content may be incorrect."/>
                    <pic:cNvPicPr/>
                  </pic:nvPicPr>
                  <pic:blipFill>
                    <a:blip r:embed="rId7"/>
                    <a:stretch>
                      <a:fillRect/>
                    </a:stretch>
                  </pic:blipFill>
                  <pic:spPr>
                    <a:xfrm>
                      <a:off x="0" y="0"/>
                      <a:ext cx="6647815" cy="3573780"/>
                    </a:xfrm>
                    <a:prstGeom prst="rect">
                      <a:avLst/>
                    </a:prstGeom>
                  </pic:spPr>
                </pic:pic>
              </a:graphicData>
            </a:graphic>
          </wp:inline>
        </w:drawing>
      </w:r>
    </w:p>
    <w:p w14:paraId="6CAB981D" w14:textId="77777777" w:rsidR="00CB35A8" w:rsidRPr="007073E8" w:rsidRDefault="00CE6DFB" w:rsidP="0094002B">
      <w:pPr>
        <w:pStyle w:val="Heading1"/>
        <w:spacing w:before="120" w:after="120"/>
        <w:rPr>
          <w:color w:val="943634" w:themeColor="accent2" w:themeShade="BF"/>
        </w:rPr>
      </w:pPr>
      <w:bookmarkStart w:id="11" w:name="_Toc207475339"/>
      <w:bookmarkStart w:id="12" w:name="_Toc207475845"/>
      <w:r w:rsidRPr="007073E8">
        <w:rPr>
          <w:color w:val="943634" w:themeColor="accent2" w:themeShade="BF"/>
        </w:rPr>
        <w:lastRenderedPageBreak/>
        <w:t>3. Services &amp; Products Impact on Customer Churn Dashboard</w:t>
      </w:r>
      <w:bookmarkEnd w:id="11"/>
      <w:bookmarkEnd w:id="12"/>
    </w:p>
    <w:p w14:paraId="58C1F5B9" w14:textId="77777777" w:rsidR="007754C2" w:rsidRDefault="00CE6DFB" w:rsidP="00CE6DFB">
      <w:pPr>
        <w:spacing w:before="120" w:after="120"/>
      </w:pPr>
      <w:r>
        <w:t xml:space="preserve">This dashboard investigates the role of internet services, additional products, and payment methods on churn. </w:t>
      </w:r>
    </w:p>
    <w:p w14:paraId="633CBDFB" w14:textId="77777777" w:rsidR="007754C2" w:rsidRDefault="00CE6DFB" w:rsidP="00CE6DFB">
      <w:pPr>
        <w:spacing w:before="120" w:after="120"/>
      </w:pPr>
      <w:r>
        <w:t xml:space="preserve">The 'Churn by Internet Service' chart shows that fiber optic customers have the highest churn rates, while DSL customers are relatively more stable. Customers with no internet service have very low churn, but this is because many </w:t>
      </w:r>
      <w:proofErr w:type="gramStart"/>
      <w:r>
        <w:t>are</w:t>
      </w:r>
      <w:proofErr w:type="gramEnd"/>
      <w:r>
        <w:t xml:space="preserve"> legacy low-usage accounts. </w:t>
      </w:r>
    </w:p>
    <w:p w14:paraId="74E7ADD1" w14:textId="77777777" w:rsidR="007754C2" w:rsidRDefault="00CE6DFB" w:rsidP="00CE6DFB">
      <w:pPr>
        <w:spacing w:before="120" w:after="120"/>
      </w:pPr>
      <w:r>
        <w:t xml:space="preserve">The 'Churn by Payment Method' chart reveals that customers </w:t>
      </w:r>
      <w:proofErr w:type="gramStart"/>
      <w:r>
        <w:t>paying</w:t>
      </w:r>
      <w:proofErr w:type="gramEnd"/>
      <w:r>
        <w:t xml:space="preserve"> by electronic check churn disproportionately more than those using credit </w:t>
      </w:r>
      <w:proofErr w:type="gramStart"/>
      <w:r>
        <w:t>card</w:t>
      </w:r>
      <w:proofErr w:type="gramEnd"/>
      <w:r>
        <w:t xml:space="preserve">, bank </w:t>
      </w:r>
      <w:proofErr w:type="gramStart"/>
      <w:r>
        <w:t>transfer</w:t>
      </w:r>
      <w:proofErr w:type="gramEnd"/>
      <w:r>
        <w:t xml:space="preserve">, or mailed checks. This may indicate higher risk among digitally-savvy but less loyal customers. </w:t>
      </w:r>
    </w:p>
    <w:p w14:paraId="0DF77983" w14:textId="764FF7F0" w:rsidR="00CB35A8" w:rsidRDefault="00CE6DFB" w:rsidP="00CE6DFB">
      <w:pPr>
        <w:spacing w:before="120" w:after="120"/>
      </w:pPr>
      <w:r>
        <w:t>The 'Churn by Online Security', 'Churn by Tech Support', and 'Churn by Streaming TV' charts all show that customers without these value-added services are more likely to churn. Offering bundles with these services may reduce churn rates.</w:t>
      </w:r>
    </w:p>
    <w:p w14:paraId="744DF5DF" w14:textId="77777777" w:rsidR="007754C2" w:rsidRDefault="007754C2" w:rsidP="007754C2">
      <w:pPr>
        <w:spacing w:before="120" w:after="0"/>
      </w:pPr>
    </w:p>
    <w:p w14:paraId="0951C713" w14:textId="6A69E1BC" w:rsidR="007754C2" w:rsidRDefault="007754C2" w:rsidP="0094002B">
      <w:pPr>
        <w:spacing w:after="0"/>
      </w:pPr>
      <w:r>
        <w:rPr>
          <w:noProof/>
        </w:rPr>
        <w:drawing>
          <wp:inline distT="0" distB="0" distL="0" distR="0" wp14:anchorId="7B05CBF9" wp14:editId="38D2AEE3">
            <wp:extent cx="6647815" cy="4221480"/>
            <wp:effectExtent l="0" t="0" r="635" b="7620"/>
            <wp:docPr id="28305859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58590" name="Picture 3" descr="A screenshot of a computer&#10;&#10;AI-generated content may be incorrect."/>
                    <pic:cNvPicPr/>
                  </pic:nvPicPr>
                  <pic:blipFill>
                    <a:blip r:embed="rId8"/>
                    <a:stretch>
                      <a:fillRect/>
                    </a:stretch>
                  </pic:blipFill>
                  <pic:spPr>
                    <a:xfrm>
                      <a:off x="0" y="0"/>
                      <a:ext cx="6647815" cy="4221480"/>
                    </a:xfrm>
                    <a:prstGeom prst="rect">
                      <a:avLst/>
                    </a:prstGeom>
                  </pic:spPr>
                </pic:pic>
              </a:graphicData>
            </a:graphic>
          </wp:inline>
        </w:drawing>
      </w:r>
    </w:p>
    <w:p w14:paraId="69FD5C7F" w14:textId="77777777" w:rsidR="00CB35A8" w:rsidRPr="007073E8" w:rsidRDefault="00CE6DFB" w:rsidP="0094002B">
      <w:pPr>
        <w:pStyle w:val="Heading1"/>
        <w:spacing w:before="120" w:after="120"/>
        <w:rPr>
          <w:color w:val="943634" w:themeColor="accent2" w:themeShade="BF"/>
        </w:rPr>
      </w:pPr>
      <w:bookmarkStart w:id="13" w:name="_Toc207475340"/>
      <w:bookmarkStart w:id="14" w:name="_Toc207475846"/>
      <w:r w:rsidRPr="007073E8">
        <w:rPr>
          <w:color w:val="943634" w:themeColor="accent2" w:themeShade="BF"/>
        </w:rPr>
        <w:t>4. Financial Impact of Customer Churn Dashboard</w:t>
      </w:r>
      <w:bookmarkEnd w:id="13"/>
      <w:bookmarkEnd w:id="14"/>
    </w:p>
    <w:p w14:paraId="2586FAD2" w14:textId="77777777" w:rsidR="007754C2" w:rsidRDefault="00CE6DFB" w:rsidP="00CE6DFB">
      <w:pPr>
        <w:spacing w:before="120" w:after="120"/>
      </w:pPr>
      <w:r>
        <w:t xml:space="preserve">This dashboard quantifies the financial consequences of churn. </w:t>
      </w:r>
    </w:p>
    <w:p w14:paraId="61C0913D" w14:textId="77777777" w:rsidR="007754C2" w:rsidRDefault="00CE6DFB" w:rsidP="00CE6DFB">
      <w:pPr>
        <w:spacing w:before="120" w:after="120"/>
      </w:pPr>
      <w:r>
        <w:t xml:space="preserve">The 'Avg. Monthly Charges by Churn' chart shows that customers who churned typically had higher monthly charges compared to those who stayed. This suggests that high-paying customers are at greater risk. </w:t>
      </w:r>
    </w:p>
    <w:p w14:paraId="0F232E2E" w14:textId="77777777" w:rsidR="007754C2" w:rsidRDefault="00CE6DFB" w:rsidP="00CE6DFB">
      <w:pPr>
        <w:spacing w:before="120" w:after="120"/>
      </w:pPr>
      <w:r>
        <w:t xml:space="preserve">The 'Revenue Loss Estimate' card calculates the total monthly revenue lost due to churn (~$139K). </w:t>
      </w:r>
    </w:p>
    <w:p w14:paraId="19E711F3" w14:textId="77777777" w:rsidR="007754C2" w:rsidRDefault="00CE6DFB" w:rsidP="00CE6DFB">
      <w:pPr>
        <w:spacing w:before="120" w:after="120"/>
      </w:pPr>
      <w:r>
        <w:t xml:space="preserve">The '% Revenue Lost' KPI contextualizes this, showing that 30.5% of total monthly revenue is lost to churn. </w:t>
      </w:r>
    </w:p>
    <w:p w14:paraId="37D26009" w14:textId="79E9D040" w:rsidR="00CB35A8" w:rsidRDefault="00CE6DFB" w:rsidP="00CE6DFB">
      <w:pPr>
        <w:spacing w:before="120" w:after="120"/>
      </w:pPr>
      <w:r>
        <w:t xml:space="preserve">The 'Total Charges Distribution' </w:t>
      </w:r>
      <w:proofErr w:type="gramStart"/>
      <w:r>
        <w:t>box plot</w:t>
      </w:r>
      <w:proofErr w:type="gramEnd"/>
      <w:r>
        <w:t xml:space="preserve"> illustrates how churned customers tend to have lower lifetime revenue compared to retained ones. While some churned customers spent heavily, the median revenue contribution is lower. This view highlights that while churn impacts overall revenue, not all churned customers have equal financial weight.</w:t>
      </w:r>
    </w:p>
    <w:p w14:paraId="670E7454" w14:textId="77777777" w:rsidR="007754C2" w:rsidRDefault="007754C2" w:rsidP="007754C2">
      <w:pPr>
        <w:spacing w:before="120" w:after="0"/>
      </w:pPr>
    </w:p>
    <w:p w14:paraId="6119BD7F" w14:textId="7674B63E" w:rsidR="007754C2" w:rsidRDefault="007754C2" w:rsidP="007754C2">
      <w:pPr>
        <w:spacing w:before="120" w:after="0"/>
      </w:pPr>
      <w:r>
        <w:rPr>
          <w:noProof/>
        </w:rPr>
        <w:lastRenderedPageBreak/>
        <w:drawing>
          <wp:inline distT="0" distB="0" distL="0" distR="0" wp14:anchorId="768058FD" wp14:editId="16A63D86">
            <wp:extent cx="6647815" cy="3596640"/>
            <wp:effectExtent l="0" t="0" r="635" b="3810"/>
            <wp:docPr id="581151291"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51291" name="Picture 4" descr="A screenshot of a computer screen&#10;&#10;AI-generated content may be incorrect."/>
                    <pic:cNvPicPr/>
                  </pic:nvPicPr>
                  <pic:blipFill>
                    <a:blip r:embed="rId9"/>
                    <a:stretch>
                      <a:fillRect/>
                    </a:stretch>
                  </pic:blipFill>
                  <pic:spPr>
                    <a:xfrm>
                      <a:off x="0" y="0"/>
                      <a:ext cx="6647815" cy="3596640"/>
                    </a:xfrm>
                    <a:prstGeom prst="rect">
                      <a:avLst/>
                    </a:prstGeom>
                  </pic:spPr>
                </pic:pic>
              </a:graphicData>
            </a:graphic>
          </wp:inline>
        </w:drawing>
      </w:r>
    </w:p>
    <w:p w14:paraId="1CBB0254" w14:textId="77777777" w:rsidR="00CB35A8" w:rsidRPr="007073E8" w:rsidRDefault="00CE6DFB" w:rsidP="007073E8">
      <w:pPr>
        <w:pStyle w:val="Heading1"/>
        <w:spacing w:before="120" w:after="120"/>
        <w:rPr>
          <w:color w:val="76923C" w:themeColor="accent3" w:themeShade="BF"/>
        </w:rPr>
      </w:pPr>
      <w:bookmarkStart w:id="15" w:name="_Toc207475341"/>
      <w:bookmarkStart w:id="16" w:name="_Toc207475847"/>
      <w:r w:rsidRPr="007073E8">
        <w:rPr>
          <w:color w:val="76923C" w:themeColor="accent3" w:themeShade="BF"/>
        </w:rPr>
        <w:t>Recommendations</w:t>
      </w:r>
      <w:bookmarkEnd w:id="15"/>
      <w:bookmarkEnd w:id="16"/>
    </w:p>
    <w:p w14:paraId="00EE9DB6" w14:textId="77777777" w:rsidR="007754C2" w:rsidRDefault="00CE6DFB" w:rsidP="00CE6DFB">
      <w:pPr>
        <w:pStyle w:val="ListParagraph"/>
        <w:numPr>
          <w:ilvl w:val="0"/>
          <w:numId w:val="12"/>
        </w:numPr>
        <w:spacing w:before="120" w:after="120"/>
      </w:pPr>
      <w:r>
        <w:t>Prioritize converting month-to-month contracts into 1-year or 2-year contracts with retention incentives.</w:t>
      </w:r>
    </w:p>
    <w:p w14:paraId="41EAA119" w14:textId="77777777" w:rsidR="007754C2" w:rsidRDefault="00CE6DFB" w:rsidP="00CE6DFB">
      <w:pPr>
        <w:pStyle w:val="ListParagraph"/>
        <w:numPr>
          <w:ilvl w:val="0"/>
          <w:numId w:val="12"/>
        </w:numPr>
        <w:spacing w:before="120" w:after="120"/>
      </w:pPr>
      <w:r>
        <w:t>Focus retention efforts in the first 6–12 months of customer tenure when churn risk is highest.</w:t>
      </w:r>
    </w:p>
    <w:p w14:paraId="7DF0343A" w14:textId="77777777" w:rsidR="007754C2" w:rsidRDefault="00CE6DFB" w:rsidP="00CE6DFB">
      <w:pPr>
        <w:pStyle w:val="ListParagraph"/>
        <w:numPr>
          <w:ilvl w:val="0"/>
          <w:numId w:val="12"/>
        </w:numPr>
        <w:spacing w:before="120" w:after="120"/>
      </w:pPr>
      <w:r>
        <w:t>Target senior citizens and single customers with tailored offers or discounts.</w:t>
      </w:r>
    </w:p>
    <w:p w14:paraId="13AC75A9" w14:textId="77777777" w:rsidR="007754C2" w:rsidRDefault="00CE6DFB" w:rsidP="00CE6DFB">
      <w:pPr>
        <w:pStyle w:val="ListParagraph"/>
        <w:numPr>
          <w:ilvl w:val="0"/>
          <w:numId w:val="12"/>
        </w:numPr>
        <w:spacing w:before="120" w:after="120"/>
      </w:pPr>
      <w:r>
        <w:t>Encourage reliable payment methods (e.g., credit card, bank transfer) instead of electronic checks.</w:t>
      </w:r>
    </w:p>
    <w:p w14:paraId="4D5507D0" w14:textId="5EF5B84E" w:rsidR="00CB35A8" w:rsidRDefault="00CE6DFB" w:rsidP="00CE6DFB">
      <w:pPr>
        <w:pStyle w:val="ListParagraph"/>
        <w:numPr>
          <w:ilvl w:val="0"/>
          <w:numId w:val="12"/>
        </w:numPr>
        <w:spacing w:before="120" w:after="120"/>
      </w:pPr>
      <w:r>
        <w:t>Offer bundled services (e.g., Online Security, Tech Support, Streaming TV) to increase customer stickiness.</w:t>
      </w:r>
    </w:p>
    <w:sectPr w:rsidR="00CB35A8" w:rsidSect="0094002B">
      <w:pgSz w:w="11909" w:h="16848"/>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BC0E73"/>
    <w:multiLevelType w:val="hybridMultilevel"/>
    <w:tmpl w:val="050602B2"/>
    <w:lvl w:ilvl="0" w:tplc="B08C57CA">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4392481"/>
    <w:multiLevelType w:val="hybridMultilevel"/>
    <w:tmpl w:val="308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77BE1"/>
    <w:multiLevelType w:val="hybridMultilevel"/>
    <w:tmpl w:val="EA683188"/>
    <w:lvl w:ilvl="0" w:tplc="E3804EC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18185365">
    <w:abstractNumId w:val="8"/>
  </w:num>
  <w:num w:numId="2" w16cid:durableId="1979187544">
    <w:abstractNumId w:val="6"/>
  </w:num>
  <w:num w:numId="3" w16cid:durableId="1690520875">
    <w:abstractNumId w:val="5"/>
  </w:num>
  <w:num w:numId="4" w16cid:durableId="1803766146">
    <w:abstractNumId w:val="4"/>
  </w:num>
  <w:num w:numId="5" w16cid:durableId="1857426714">
    <w:abstractNumId w:val="7"/>
  </w:num>
  <w:num w:numId="6" w16cid:durableId="2096896896">
    <w:abstractNumId w:val="3"/>
  </w:num>
  <w:num w:numId="7" w16cid:durableId="1527139657">
    <w:abstractNumId w:val="2"/>
  </w:num>
  <w:num w:numId="8" w16cid:durableId="40516790">
    <w:abstractNumId w:val="1"/>
  </w:num>
  <w:num w:numId="9" w16cid:durableId="557860560">
    <w:abstractNumId w:val="0"/>
  </w:num>
  <w:num w:numId="10" w16cid:durableId="203061835">
    <w:abstractNumId w:val="10"/>
  </w:num>
  <w:num w:numId="11" w16cid:durableId="465706321">
    <w:abstractNumId w:val="11"/>
  </w:num>
  <w:num w:numId="12" w16cid:durableId="81220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8A9"/>
    <w:rsid w:val="0015074B"/>
    <w:rsid w:val="0029639D"/>
    <w:rsid w:val="002E3054"/>
    <w:rsid w:val="00326F90"/>
    <w:rsid w:val="005304CA"/>
    <w:rsid w:val="005B0DAD"/>
    <w:rsid w:val="007073E8"/>
    <w:rsid w:val="007754C2"/>
    <w:rsid w:val="00883425"/>
    <w:rsid w:val="0094002B"/>
    <w:rsid w:val="00942F6E"/>
    <w:rsid w:val="00AA1D8D"/>
    <w:rsid w:val="00B47730"/>
    <w:rsid w:val="00B8050B"/>
    <w:rsid w:val="00CB0664"/>
    <w:rsid w:val="00CB35A8"/>
    <w:rsid w:val="00CE6D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2AAE3"/>
  <w14:defaultImageDpi w14:val="300"/>
  <w15:docId w15:val="{F9CDAC23-810B-4FAB-A66C-16EA8DD9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073E8"/>
    <w:pPr>
      <w:tabs>
        <w:tab w:val="right" w:leader="dot" w:pos="10459"/>
      </w:tabs>
      <w:spacing w:before="120" w:after="0" w:line="240" w:lineRule="auto"/>
    </w:pPr>
  </w:style>
  <w:style w:type="character" w:styleId="Hyperlink">
    <w:name w:val="Hyperlink"/>
    <w:basedOn w:val="DefaultParagraphFont"/>
    <w:uiPriority w:val="99"/>
    <w:unhideWhenUsed/>
    <w:rsid w:val="0094002B"/>
    <w:rPr>
      <w:color w:val="0000FF" w:themeColor="hyperlink"/>
      <w:u w:val="single"/>
    </w:rPr>
  </w:style>
  <w:style w:type="paragraph" w:styleId="TOC2">
    <w:name w:val="toc 2"/>
    <w:basedOn w:val="Normal"/>
    <w:next w:val="Normal"/>
    <w:autoRedefine/>
    <w:uiPriority w:val="39"/>
    <w:unhideWhenUsed/>
    <w:rsid w:val="0094002B"/>
    <w:pPr>
      <w:tabs>
        <w:tab w:val="right" w:leader="dot" w:pos="10459"/>
      </w:tabs>
      <w:spacing w:before="12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sohitha Kommineni</cp:lastModifiedBy>
  <cp:revision>10</cp:revision>
  <cp:lastPrinted>2025-08-30T23:59:00Z</cp:lastPrinted>
  <dcterms:created xsi:type="dcterms:W3CDTF">2025-08-30T23:30:00Z</dcterms:created>
  <dcterms:modified xsi:type="dcterms:W3CDTF">2025-08-30T23:59:00Z</dcterms:modified>
  <cp:category/>
</cp:coreProperties>
</file>